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457824" w:rsidP="00457824">
      <w:pPr>
        <w:jc w:val="center"/>
        <w:rPr>
          <w:rFonts w:asciiTheme="minorHAnsi" w:hAnsiTheme="minorHAnsi" w:cstheme="minorHAnsi"/>
          <w:color w:val="000000" w:themeColor="text1"/>
          <w:sz w:val="32"/>
          <w:szCs w:val="32"/>
          <w:u w:val="single"/>
        </w:rPr>
      </w:pPr>
    </w:p>
    <w:p w:rsidR="00986736" w:rsidRPr="00F254B5" w:rsidRDefault="00986736" w:rsidP="00986736">
      <w:pPr>
        <w:jc w:val="center"/>
        <w:rPr>
          <w:bCs/>
          <w:sz w:val="44"/>
          <w:szCs w:val="44"/>
        </w:rPr>
      </w:pPr>
      <w:r w:rsidRPr="00F254B5">
        <w:rPr>
          <w:bCs/>
          <w:sz w:val="44"/>
          <w:szCs w:val="44"/>
        </w:rPr>
        <w:t xml:space="preserve">Celebrate!   Welcome!   Salute! </w:t>
      </w:r>
    </w:p>
    <w:p w:rsidR="00986736" w:rsidRPr="00F254B5" w:rsidRDefault="00986736" w:rsidP="00986736">
      <w:pPr>
        <w:jc w:val="center"/>
        <w:rPr>
          <w:bCs/>
          <w:sz w:val="44"/>
          <w:szCs w:val="44"/>
        </w:rPr>
      </w:pPr>
    </w:p>
    <w:p w:rsidR="00986736" w:rsidRPr="002E2BB1" w:rsidRDefault="00986736" w:rsidP="00986736">
      <w:pPr>
        <w:jc w:val="center"/>
        <w:rPr>
          <w:bCs/>
          <w:sz w:val="36"/>
          <w:szCs w:val="36"/>
        </w:rPr>
      </w:pPr>
      <w:r w:rsidRPr="002E2BB1">
        <w:rPr>
          <w:bCs/>
          <w:sz w:val="36"/>
          <w:szCs w:val="36"/>
        </w:rPr>
        <w:t>The Club Room, Ingleside at King Farm</w:t>
      </w:r>
      <w:r w:rsidRPr="002E2BB1">
        <w:rPr>
          <w:bCs/>
          <w:sz w:val="36"/>
          <w:szCs w:val="36"/>
          <w:highlight w:val="yellow"/>
        </w:rPr>
        <w:t xml:space="preserve"> </w:t>
      </w:r>
    </w:p>
    <w:p w:rsidR="00986736" w:rsidRPr="002E2BB1" w:rsidRDefault="00986736" w:rsidP="00986736">
      <w:pPr>
        <w:jc w:val="center"/>
        <w:rPr>
          <w:bCs/>
          <w:sz w:val="36"/>
          <w:szCs w:val="36"/>
        </w:rPr>
      </w:pPr>
      <w:r w:rsidRPr="002E2BB1">
        <w:rPr>
          <w:bCs/>
          <w:sz w:val="36"/>
          <w:szCs w:val="36"/>
        </w:rPr>
        <w:t xml:space="preserve"> (</w:t>
      </w:r>
      <w:r w:rsidR="00DD253B" w:rsidRPr="002E2BB1">
        <w:rPr>
          <w:bCs/>
          <w:sz w:val="36"/>
          <w:szCs w:val="36"/>
        </w:rPr>
        <w:t>In</w:t>
      </w:r>
      <w:r w:rsidRPr="002E2BB1">
        <w:rPr>
          <w:bCs/>
          <w:sz w:val="36"/>
          <w:szCs w:val="36"/>
        </w:rPr>
        <w:t xml:space="preserve"> new Gardenside addition)</w:t>
      </w:r>
    </w:p>
    <w:p w:rsidR="00986736" w:rsidRPr="002E2BB1" w:rsidRDefault="00986736" w:rsidP="00986736">
      <w:pPr>
        <w:jc w:val="center"/>
        <w:rPr>
          <w:bCs/>
          <w:sz w:val="36"/>
          <w:szCs w:val="36"/>
        </w:rPr>
      </w:pPr>
    </w:p>
    <w:p w:rsidR="00986736" w:rsidRPr="005F2958" w:rsidRDefault="00986736" w:rsidP="00986736">
      <w:pPr>
        <w:jc w:val="center"/>
        <w:rPr>
          <w:color w:val="FF0000"/>
          <w:sz w:val="24"/>
          <w:szCs w:val="24"/>
          <w:u w:val="single"/>
        </w:rPr>
      </w:pPr>
      <w:r w:rsidRPr="005F2958">
        <w:rPr>
          <w:color w:val="FF0000"/>
          <w:sz w:val="24"/>
          <w:szCs w:val="24"/>
        </w:rPr>
        <w:t xml:space="preserve">Saturday, September </w:t>
      </w:r>
      <w:r w:rsidRPr="005F2958">
        <w:rPr>
          <w:color w:val="FF0000"/>
          <w:sz w:val="24"/>
          <w:szCs w:val="24"/>
          <w:u w:val="single"/>
        </w:rPr>
        <w:t>24</w:t>
      </w:r>
      <w:r w:rsidRPr="005F2958">
        <w:rPr>
          <w:color w:val="FF0000"/>
          <w:sz w:val="24"/>
          <w:szCs w:val="24"/>
        </w:rPr>
        <w:t xml:space="preserve">, 2022, </w:t>
      </w:r>
      <w:r w:rsidRPr="005F2958">
        <w:rPr>
          <w:color w:val="FF0000"/>
          <w:sz w:val="24"/>
          <w:szCs w:val="24"/>
          <w:u w:val="single"/>
        </w:rPr>
        <w:t>2:00 - 4:00</w:t>
      </w:r>
      <w:r w:rsidRPr="005F2958">
        <w:rPr>
          <w:color w:val="FF0000"/>
          <w:sz w:val="24"/>
          <w:szCs w:val="24"/>
        </w:rPr>
        <w:t xml:space="preserve"> pm</w:t>
      </w:r>
    </w:p>
    <w:p w:rsidR="00986736" w:rsidRPr="005F2958" w:rsidRDefault="00986736" w:rsidP="00986736">
      <w:pPr>
        <w:jc w:val="center"/>
        <w:rPr>
          <w:color w:val="FF0000"/>
          <w:sz w:val="24"/>
          <w:szCs w:val="24"/>
        </w:rPr>
      </w:pPr>
      <w:r w:rsidRPr="005F2958">
        <w:rPr>
          <w:sz w:val="24"/>
          <w:szCs w:val="24"/>
        </w:rPr>
        <w:t>710 King Farm Boulevard or 1615 Piccard Drive, Rockville</w:t>
      </w:r>
    </w:p>
    <w:p w:rsidR="00986736" w:rsidRPr="005F2958" w:rsidRDefault="005F2958" w:rsidP="00986736">
      <w:pPr>
        <w:jc w:val="center"/>
        <w:rPr>
          <w:sz w:val="24"/>
          <w:szCs w:val="24"/>
        </w:rPr>
      </w:pPr>
      <w:r w:rsidRPr="005F2958">
        <w:rPr>
          <w:sz w:val="24"/>
          <w:szCs w:val="24"/>
        </w:rPr>
        <w:t>See attached map</w:t>
      </w:r>
      <w:r w:rsidR="00986736" w:rsidRPr="005F2958">
        <w:rPr>
          <w:sz w:val="24"/>
          <w:szCs w:val="24"/>
        </w:rPr>
        <w:t>*</w:t>
      </w:r>
    </w:p>
    <w:p w:rsidR="00986736" w:rsidRPr="005F2958" w:rsidRDefault="00986736" w:rsidP="00986736">
      <w:pPr>
        <w:jc w:val="center"/>
        <w:rPr>
          <w:color w:val="0070C0"/>
          <w:sz w:val="24"/>
          <w:szCs w:val="24"/>
          <w:u w:val="single"/>
        </w:rPr>
      </w:pPr>
    </w:p>
    <w:p w:rsidR="00986736" w:rsidRPr="005F2958" w:rsidRDefault="00986736" w:rsidP="00986736">
      <w:pPr>
        <w:jc w:val="center"/>
        <w:rPr>
          <w:color w:val="0070C0"/>
          <w:sz w:val="24"/>
          <w:szCs w:val="24"/>
        </w:rPr>
      </w:pPr>
      <w:r w:rsidRPr="005F2958">
        <w:rPr>
          <w:color w:val="0070C0"/>
          <w:sz w:val="24"/>
          <w:szCs w:val="24"/>
          <w:u w:val="single"/>
        </w:rPr>
        <w:t>Masks required</w:t>
      </w:r>
      <w:r w:rsidRPr="005F2958">
        <w:rPr>
          <w:color w:val="0070C0"/>
          <w:sz w:val="24"/>
          <w:szCs w:val="24"/>
        </w:rPr>
        <w:t xml:space="preserve"> for transiting the building</w:t>
      </w:r>
    </w:p>
    <w:p w:rsidR="00986736" w:rsidRDefault="00986736" w:rsidP="00986736">
      <w:pPr>
        <w:jc w:val="center"/>
        <w:rPr>
          <w:color w:val="FF0000"/>
        </w:rPr>
      </w:pPr>
    </w:p>
    <w:p w:rsidR="00986736" w:rsidRPr="005F2958" w:rsidRDefault="00986736" w:rsidP="00986736">
      <w:pPr>
        <w:rPr>
          <w:sz w:val="28"/>
          <w:szCs w:val="28"/>
        </w:rPr>
      </w:pPr>
      <w:r w:rsidRPr="005F2958">
        <w:rPr>
          <w:sz w:val="28"/>
          <w:szCs w:val="28"/>
        </w:rPr>
        <w:t>Please join us to ring in AAUW’s 2022-2023 season with afternoon tea to celebrate the 20</w:t>
      </w:r>
      <w:r w:rsidRPr="005F2958">
        <w:rPr>
          <w:sz w:val="28"/>
          <w:szCs w:val="28"/>
          <w:vertAlign w:val="superscript"/>
        </w:rPr>
        <w:t>th</w:t>
      </w:r>
      <w:r w:rsidRPr="005F2958">
        <w:rPr>
          <w:sz w:val="28"/>
          <w:szCs w:val="28"/>
        </w:rPr>
        <w:t xml:space="preserve"> anniversary year of the Kensington-Rockville Branch—and honor the 75</w:t>
      </w:r>
      <w:r w:rsidRPr="005F2958">
        <w:rPr>
          <w:sz w:val="28"/>
          <w:szCs w:val="28"/>
          <w:vertAlign w:val="superscript"/>
        </w:rPr>
        <w:t>th</w:t>
      </w:r>
      <w:r w:rsidRPr="005F2958">
        <w:rPr>
          <w:sz w:val="28"/>
          <w:szCs w:val="28"/>
        </w:rPr>
        <w:t xml:space="preserve"> and 65</w:t>
      </w:r>
      <w:r w:rsidRPr="005F2958">
        <w:rPr>
          <w:sz w:val="28"/>
          <w:szCs w:val="28"/>
          <w:vertAlign w:val="superscript"/>
        </w:rPr>
        <w:t>th</w:t>
      </w:r>
      <w:r w:rsidRPr="005F2958">
        <w:rPr>
          <w:sz w:val="28"/>
          <w:szCs w:val="28"/>
        </w:rPr>
        <w:t xml:space="preserve"> anniversaries of our parent branches!</w:t>
      </w:r>
    </w:p>
    <w:p w:rsidR="00986736" w:rsidRPr="005F2958" w:rsidRDefault="00986736" w:rsidP="00986736">
      <w:pPr>
        <w:rPr>
          <w:sz w:val="28"/>
          <w:szCs w:val="28"/>
        </w:rPr>
      </w:pPr>
    </w:p>
    <w:p w:rsidR="00986736" w:rsidRPr="005F2958" w:rsidRDefault="00986736" w:rsidP="00986736">
      <w:pPr>
        <w:rPr>
          <w:sz w:val="28"/>
          <w:szCs w:val="28"/>
        </w:rPr>
      </w:pPr>
      <w:r w:rsidRPr="005F2958">
        <w:rPr>
          <w:sz w:val="28"/>
          <w:szCs w:val="28"/>
        </w:rPr>
        <w:t xml:space="preserve">Invite and bring your friends. Our festive, informative gathering will be an ideal time to introduce new and potential members to AAUW and its 141-year record of making a difference for women and girls. </w:t>
      </w:r>
    </w:p>
    <w:p w:rsidR="00986736" w:rsidRPr="005F2958" w:rsidRDefault="00986736" w:rsidP="00986736">
      <w:pPr>
        <w:rPr>
          <w:sz w:val="28"/>
          <w:szCs w:val="28"/>
        </w:rPr>
      </w:pPr>
    </w:p>
    <w:p w:rsidR="00986736" w:rsidRPr="005F2958" w:rsidRDefault="00986736" w:rsidP="00986736">
      <w:pPr>
        <w:rPr>
          <w:sz w:val="28"/>
          <w:szCs w:val="28"/>
        </w:rPr>
      </w:pPr>
      <w:r w:rsidRPr="005F2958">
        <w:rPr>
          <w:sz w:val="28"/>
          <w:szCs w:val="28"/>
        </w:rPr>
        <w:t xml:space="preserve">We will focus on the work and impact of the AAUW Legal Advocacy Fund (LAF), which since 1981 has been providing funding and moral support for women seeking legal redress for discrimination in higher education and the workplace. </w:t>
      </w:r>
    </w:p>
    <w:p w:rsidR="00986736" w:rsidRPr="005F2958" w:rsidRDefault="002E2BB1" w:rsidP="00986736">
      <w:pPr>
        <w:rPr>
          <w:sz w:val="28"/>
          <w:szCs w:val="28"/>
        </w:rPr>
      </w:pPr>
      <w:r>
        <w:rPr>
          <w:noProof/>
        </w:rPr>
        <w:drawing>
          <wp:anchor distT="0" distB="0" distL="114300" distR="114300" simplePos="0" relativeHeight="251930624" behindDoc="0" locked="0" layoutInCell="1" allowOverlap="1">
            <wp:simplePos x="0" y="0"/>
            <wp:positionH relativeFrom="column">
              <wp:posOffset>-647700</wp:posOffset>
            </wp:positionH>
            <wp:positionV relativeFrom="paragraph">
              <wp:posOffset>274320</wp:posOffset>
            </wp:positionV>
            <wp:extent cx="1331349" cy="1462389"/>
            <wp:effectExtent l="0" t="0" r="254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1349" cy="1462389"/>
                    </a:xfrm>
                    <a:prstGeom prst="rect">
                      <a:avLst/>
                    </a:prstGeom>
                    <a:noFill/>
                    <a:ln>
                      <a:noFill/>
                    </a:ln>
                  </pic:spPr>
                </pic:pic>
              </a:graphicData>
            </a:graphic>
          </wp:anchor>
        </w:drawing>
      </w:r>
    </w:p>
    <w:p w:rsidR="00986736" w:rsidRPr="005F2958" w:rsidRDefault="00986736" w:rsidP="00986736">
      <w:pPr>
        <w:rPr>
          <w:sz w:val="28"/>
          <w:szCs w:val="28"/>
        </w:rPr>
      </w:pPr>
      <w:r w:rsidRPr="005F2958">
        <w:rPr>
          <w:sz w:val="28"/>
          <w:szCs w:val="28"/>
        </w:rPr>
        <w:t xml:space="preserve">Our speaker, Dr. Laura Violand, knows the LAF first-hand. She was the Director of Medical Center Advancement at the George Washington University School of Medicine when, showing clear </w:t>
      </w:r>
      <w:r w:rsidRPr="005F2958">
        <w:rPr>
          <w:sz w:val="28"/>
          <w:szCs w:val="28"/>
        </w:rPr>
        <w:lastRenderedPageBreak/>
        <w:t xml:space="preserve">and impressive evidence, she sued GWU for pay inequity, in violation of the DC Human Rights Law. </w:t>
      </w:r>
    </w:p>
    <w:p w:rsidR="00986736" w:rsidRPr="005F2958" w:rsidRDefault="00986736" w:rsidP="00711C78">
      <w:pPr>
        <w:rPr>
          <w:sz w:val="28"/>
          <w:szCs w:val="28"/>
        </w:rPr>
      </w:pPr>
      <w:r w:rsidRPr="005F2958">
        <w:rPr>
          <w:sz w:val="28"/>
          <w:szCs w:val="28"/>
        </w:rPr>
        <w:t xml:space="preserve">Dr. Violand will share her not-uncomplicated legal saga </w:t>
      </w:r>
      <w:r w:rsidR="00DD253B" w:rsidRPr="005F2958">
        <w:rPr>
          <w:sz w:val="28"/>
          <w:szCs w:val="28"/>
        </w:rPr>
        <w:t>and</w:t>
      </w:r>
      <w:r w:rsidRPr="005F2958">
        <w:rPr>
          <w:sz w:val="28"/>
          <w:szCs w:val="28"/>
        </w:rPr>
        <w:t xml:space="preserve"> how she learned about the LAF, the nature of her support, and its meaning for her. She is a member of the Howard County Branch of AAUW.</w:t>
      </w:r>
    </w:p>
    <w:p w:rsidR="00986736" w:rsidRPr="005F2958" w:rsidRDefault="00711C78" w:rsidP="00986736">
      <w:pPr>
        <w:rPr>
          <w:sz w:val="28"/>
          <w:szCs w:val="28"/>
        </w:rPr>
      </w:pPr>
      <w:r>
        <w:rPr>
          <w:sz w:val="28"/>
          <w:szCs w:val="28"/>
        </w:rPr>
        <w:tab/>
      </w:r>
    </w:p>
    <w:p w:rsidR="00986736" w:rsidRPr="005F2958" w:rsidRDefault="00986736" w:rsidP="00986736">
      <w:pPr>
        <w:rPr>
          <w:sz w:val="28"/>
          <w:szCs w:val="28"/>
        </w:rPr>
      </w:pPr>
      <w:r w:rsidRPr="005F2958">
        <w:rPr>
          <w:sz w:val="28"/>
          <w:szCs w:val="28"/>
        </w:rPr>
        <w:t>Don’t miss!</w:t>
      </w:r>
    </w:p>
    <w:p w:rsidR="00986736" w:rsidRPr="005F2958" w:rsidRDefault="00986736" w:rsidP="00986736">
      <w:pPr>
        <w:rPr>
          <w:sz w:val="28"/>
          <w:szCs w:val="28"/>
        </w:rPr>
      </w:pPr>
    </w:p>
    <w:p w:rsidR="00986736" w:rsidRPr="005F2958" w:rsidRDefault="00986736" w:rsidP="00986736">
      <w:pPr>
        <w:rPr>
          <w:sz w:val="28"/>
          <w:szCs w:val="28"/>
        </w:rPr>
      </w:pPr>
      <w:r w:rsidRPr="005F2958">
        <w:rPr>
          <w:sz w:val="28"/>
          <w:szCs w:val="28"/>
        </w:rPr>
        <w:t>Dian Belanger and Anita Rosen</w:t>
      </w:r>
    </w:p>
    <w:p w:rsidR="00986736" w:rsidRPr="005F2958" w:rsidRDefault="00986736" w:rsidP="00986736">
      <w:pPr>
        <w:rPr>
          <w:sz w:val="28"/>
          <w:szCs w:val="28"/>
        </w:rPr>
      </w:pPr>
      <w:r w:rsidRPr="005F2958">
        <w:rPr>
          <w:sz w:val="28"/>
          <w:szCs w:val="28"/>
        </w:rPr>
        <w:t>Co-Program Vice Presidents</w:t>
      </w:r>
    </w:p>
    <w:p w:rsidR="00986736" w:rsidRPr="005F2958" w:rsidRDefault="00FE70C1" w:rsidP="00986736">
      <w:pPr>
        <w:rPr>
          <w:sz w:val="28"/>
          <w:szCs w:val="28"/>
        </w:rPr>
      </w:pPr>
      <w:hyperlink r:id="rId9" w:history="1">
        <w:r w:rsidR="00986736" w:rsidRPr="005F2958">
          <w:rPr>
            <w:rStyle w:val="Hyperlink"/>
            <w:sz w:val="28"/>
            <w:szCs w:val="28"/>
          </w:rPr>
          <w:t>dobelanger@comcast.net</w:t>
        </w:r>
      </w:hyperlink>
      <w:r w:rsidR="00986736" w:rsidRPr="005F2958">
        <w:rPr>
          <w:sz w:val="28"/>
          <w:szCs w:val="28"/>
        </w:rPr>
        <w:t xml:space="preserve"> </w:t>
      </w:r>
    </w:p>
    <w:p w:rsidR="00986736" w:rsidRPr="005F2958" w:rsidRDefault="00FE70C1" w:rsidP="00986736">
      <w:pPr>
        <w:rPr>
          <w:sz w:val="28"/>
          <w:szCs w:val="28"/>
        </w:rPr>
      </w:pPr>
      <w:hyperlink r:id="rId10" w:history="1">
        <w:r w:rsidR="00986736" w:rsidRPr="005F2958">
          <w:rPr>
            <w:rStyle w:val="Hyperlink"/>
            <w:sz w:val="28"/>
            <w:szCs w:val="28"/>
          </w:rPr>
          <w:t>anitarosen123@gmail.com</w:t>
        </w:r>
      </w:hyperlink>
      <w:r w:rsidR="00986736" w:rsidRPr="005F2958">
        <w:rPr>
          <w:sz w:val="28"/>
          <w:szCs w:val="28"/>
        </w:rPr>
        <w:t xml:space="preserve"> </w:t>
      </w:r>
    </w:p>
    <w:p w:rsidR="00986736" w:rsidRDefault="00986736" w:rsidP="00986736">
      <w:pPr>
        <w:rPr>
          <w:szCs w:val="24"/>
        </w:rPr>
      </w:pPr>
    </w:p>
    <w:p w:rsidR="00986736" w:rsidRDefault="00986736" w:rsidP="00986736">
      <w:pPr>
        <w:rPr>
          <w:szCs w:val="24"/>
        </w:rPr>
      </w:pPr>
    </w:p>
    <w:p w:rsidR="00B928B5" w:rsidRDefault="00B928B5" w:rsidP="00986736">
      <w:pPr>
        <w:rPr>
          <w:szCs w:val="24"/>
        </w:rPr>
      </w:pPr>
    </w:p>
    <w:p w:rsidR="00B928B5" w:rsidRDefault="00B928B5" w:rsidP="00986736">
      <w:pPr>
        <w:rPr>
          <w:szCs w:val="24"/>
        </w:rPr>
      </w:pPr>
    </w:p>
    <w:p w:rsidR="00B928B5" w:rsidRDefault="00B928B5" w:rsidP="00986736">
      <w:pPr>
        <w:rPr>
          <w:szCs w:val="24"/>
        </w:rPr>
      </w:pPr>
    </w:p>
    <w:p w:rsidR="009D63A6" w:rsidRPr="002414C0" w:rsidRDefault="009D63A6" w:rsidP="009D63A6">
      <w:pPr>
        <w:pStyle w:val="Heading1"/>
        <w:spacing w:before="0"/>
        <w:rPr>
          <w:rFonts w:ascii="Arial" w:hAnsi="Arial" w:cs="Arial"/>
          <w:b/>
          <w:bCs/>
          <w:color w:val="31849B" w:themeColor="accent5" w:themeShade="BF"/>
          <w:sz w:val="40"/>
          <w:szCs w:val="40"/>
        </w:rPr>
      </w:pPr>
      <w:bookmarkStart w:id="0" w:name="_Hlk30664064"/>
      <w:bookmarkStart w:id="1" w:name="_Hlk533162457"/>
      <w:r w:rsidRPr="002414C0">
        <w:rPr>
          <w:rFonts w:ascii="Arial" w:hAnsi="Arial" w:cs="Arial"/>
          <w:b/>
          <w:bCs/>
          <w:color w:val="31849B" w:themeColor="accent5" w:themeShade="BF"/>
          <w:sz w:val="40"/>
          <w:szCs w:val="40"/>
        </w:rPr>
        <w:t xml:space="preserve">AAUW </w:t>
      </w:r>
      <w:r>
        <w:rPr>
          <w:rFonts w:ascii="Arial" w:hAnsi="Arial" w:cs="Arial"/>
          <w:b/>
          <w:bCs/>
          <w:color w:val="31849B" w:themeColor="accent5" w:themeShade="BF"/>
          <w:sz w:val="40"/>
          <w:szCs w:val="40"/>
        </w:rPr>
        <w:t>Legal Advocacy Fund</w:t>
      </w:r>
    </w:p>
    <w:p w:rsidR="009D63A6" w:rsidRDefault="009D63A6" w:rsidP="009D63A6">
      <w:pPr>
        <w:widowControl/>
        <w:overflowPunct/>
        <w:autoSpaceDE/>
        <w:autoSpaceDN/>
        <w:adjustRightInd/>
        <w:spacing w:after="360"/>
        <w:textAlignment w:val="auto"/>
        <w:rPr>
          <w:rFonts w:ascii="Work Sans" w:hAnsi="Work Sans"/>
          <w:color w:val="3A3B3F"/>
          <w:sz w:val="27"/>
          <w:szCs w:val="27"/>
        </w:rPr>
      </w:pPr>
    </w:p>
    <w:p w:rsidR="009D63A6" w:rsidRPr="00DA7A75" w:rsidRDefault="009D63A6" w:rsidP="009D63A6">
      <w:pPr>
        <w:widowControl/>
        <w:overflowPunct/>
        <w:autoSpaceDE/>
        <w:autoSpaceDN/>
        <w:adjustRightInd/>
        <w:spacing w:after="360"/>
        <w:textAlignment w:val="auto"/>
        <w:rPr>
          <w:rFonts w:cs="Arial"/>
          <w:color w:val="3A3B3F"/>
          <w:sz w:val="28"/>
          <w:szCs w:val="28"/>
        </w:rPr>
      </w:pPr>
      <w:r w:rsidRPr="00DA7A75">
        <w:rPr>
          <w:rFonts w:cs="Arial"/>
          <w:color w:val="3A3B3F"/>
          <w:sz w:val="28"/>
          <w:szCs w:val="28"/>
        </w:rPr>
        <w:t xml:space="preserve">Unfair pay, pregnancy discrimination, sexual harassment, sexual </w:t>
      </w:r>
      <w:r w:rsidR="00DD253B" w:rsidRPr="00DA7A75">
        <w:rPr>
          <w:rFonts w:cs="Arial"/>
          <w:color w:val="3A3B3F"/>
          <w:sz w:val="28"/>
          <w:szCs w:val="28"/>
        </w:rPr>
        <w:t>assault,</w:t>
      </w:r>
      <w:r w:rsidRPr="00DA7A75">
        <w:rPr>
          <w:rFonts w:cs="Arial"/>
          <w:color w:val="3A3B3F"/>
          <w:sz w:val="28"/>
          <w:szCs w:val="28"/>
        </w:rPr>
        <w:t xml:space="preserve"> and violations of Title IX of the Education Amendments of 1972 can affect both women and men.</w:t>
      </w:r>
    </w:p>
    <w:p w:rsidR="009D63A6" w:rsidRPr="00DA7A75" w:rsidRDefault="009D63A6" w:rsidP="009D63A6">
      <w:pPr>
        <w:widowControl/>
        <w:overflowPunct/>
        <w:autoSpaceDE/>
        <w:autoSpaceDN/>
        <w:adjustRightInd/>
        <w:spacing w:after="360"/>
        <w:textAlignment w:val="auto"/>
        <w:rPr>
          <w:rFonts w:cs="Arial"/>
          <w:color w:val="3A3B3F"/>
          <w:sz w:val="28"/>
          <w:szCs w:val="28"/>
        </w:rPr>
      </w:pPr>
      <w:r w:rsidRPr="00DA7A75">
        <w:rPr>
          <w:rFonts w:cs="Arial"/>
          <w:color w:val="3A3B3F"/>
          <w:sz w:val="28"/>
          <w:szCs w:val="28"/>
        </w:rPr>
        <w:t>AAUW’s Legal Advocacy Fund addresses these barriers by informing people of their rights and using the legal system to seek justice and change. LAF was created in 1981 by AAUW members and has provided millions of dollars to balance the scales of justice for people working toward gender equity through the legal system.</w:t>
      </w:r>
    </w:p>
    <w:p w:rsidR="000F27B3" w:rsidRPr="002F052D" w:rsidRDefault="009D63A6" w:rsidP="002F052D">
      <w:pPr>
        <w:widowControl/>
        <w:overflowPunct/>
        <w:autoSpaceDE/>
        <w:autoSpaceDN/>
        <w:adjustRightInd/>
        <w:textAlignment w:val="auto"/>
        <w:rPr>
          <w:rFonts w:cs="Arial"/>
          <w:color w:val="3A3B3F"/>
          <w:sz w:val="28"/>
          <w:szCs w:val="28"/>
        </w:rPr>
      </w:pPr>
      <w:r w:rsidRPr="00DA7A75">
        <w:rPr>
          <w:rFonts w:cs="Arial"/>
          <w:color w:val="3A3B3F"/>
          <w:sz w:val="28"/>
          <w:szCs w:val="28"/>
        </w:rPr>
        <w:t>We support brave plaintiffs seeking legal redress for equal pay, Title IX, Title VII of the Civil Rights Act of 1964 and tenure denial violations. We allocate $100,000 annually to help fund landmark cases, such as </w:t>
      </w:r>
      <w:r w:rsidRPr="00DA7A75">
        <w:rPr>
          <w:rFonts w:cs="Arial"/>
          <w:i/>
          <w:iCs/>
          <w:color w:val="3A3B3F"/>
          <w:sz w:val="28"/>
          <w:szCs w:val="28"/>
        </w:rPr>
        <w:t>Wal-Mart v. Dukes</w:t>
      </w:r>
      <w:r w:rsidRPr="00DA7A75">
        <w:rPr>
          <w:rFonts w:cs="Arial"/>
          <w:color w:val="3A3B3F"/>
          <w:sz w:val="28"/>
          <w:szCs w:val="28"/>
        </w:rPr>
        <w:t> and </w:t>
      </w:r>
      <w:r w:rsidRPr="00DA7A75">
        <w:rPr>
          <w:rFonts w:cs="Arial"/>
          <w:i/>
          <w:iCs/>
          <w:color w:val="3A3B3F"/>
          <w:sz w:val="28"/>
          <w:szCs w:val="28"/>
        </w:rPr>
        <w:t>Cioca v. Rumsfeld, </w:t>
      </w:r>
      <w:r w:rsidRPr="00DA7A75">
        <w:rPr>
          <w:rFonts w:cs="Arial"/>
          <w:color w:val="3A3B3F"/>
          <w:sz w:val="28"/>
          <w:szCs w:val="28"/>
        </w:rPr>
        <w:t>as well was cases with the potential to set future precedents like </w:t>
      </w:r>
      <w:r w:rsidRPr="00DA7A75">
        <w:rPr>
          <w:rFonts w:cs="Arial"/>
          <w:i/>
          <w:iCs/>
          <w:color w:val="3A3B3F"/>
          <w:sz w:val="28"/>
          <w:szCs w:val="28"/>
        </w:rPr>
        <w:t>Rizo v. Fresno County Office of Educatio</w:t>
      </w:r>
      <w:r w:rsidR="00DD253B">
        <w:rPr>
          <w:rFonts w:cs="Arial"/>
          <w:i/>
          <w:iCs/>
          <w:color w:val="3A3B3F"/>
          <w:sz w:val="28"/>
          <w:szCs w:val="28"/>
        </w:rPr>
        <w:t>n.</w:t>
      </w:r>
    </w:p>
    <w:p w:rsidR="000F27B3" w:rsidRDefault="000F27B3" w:rsidP="006D148E">
      <w:pPr>
        <w:rPr>
          <w:sz w:val="28"/>
          <w:szCs w:val="28"/>
        </w:rPr>
      </w:pPr>
    </w:p>
    <w:p w:rsidR="000C78F5" w:rsidRDefault="000F27B3" w:rsidP="00C06BBE">
      <w:pPr>
        <w:rPr>
          <w:rStyle w:val="textrun"/>
          <w:b/>
          <w:bCs/>
          <w:color w:val="31849B" w:themeColor="accent5" w:themeShade="BF"/>
          <w:sz w:val="40"/>
          <w:szCs w:val="40"/>
        </w:rPr>
      </w:pPr>
      <w:r>
        <w:rPr>
          <w:b/>
          <w:bCs/>
          <w:color w:val="31849B" w:themeColor="accent5" w:themeShade="BF"/>
          <w:sz w:val="40"/>
          <w:szCs w:val="40"/>
        </w:rPr>
        <w:t>P</w:t>
      </w:r>
      <w:r w:rsidR="00C06BBE" w:rsidRPr="00C06BBE">
        <w:rPr>
          <w:rStyle w:val="textrun"/>
          <w:b/>
          <w:bCs/>
          <w:color w:val="31849B" w:themeColor="accent5" w:themeShade="BF"/>
          <w:sz w:val="40"/>
          <w:szCs w:val="40"/>
        </w:rPr>
        <w:t>resident’s Message</w:t>
      </w:r>
    </w:p>
    <w:p w:rsidR="00C06BBE" w:rsidRPr="000C78F5" w:rsidRDefault="000C78F5" w:rsidP="00C06BBE">
      <w:pPr>
        <w:rPr>
          <w:rFonts w:ascii="Segoe UI" w:hAnsi="Segoe UI" w:cs="Segoe UI"/>
          <w:sz w:val="28"/>
          <w:szCs w:val="28"/>
        </w:rPr>
      </w:pPr>
      <w:r w:rsidRPr="000C78F5">
        <w:rPr>
          <w:rStyle w:val="textrun"/>
          <w:sz w:val="28"/>
          <w:szCs w:val="28"/>
        </w:rPr>
        <w:t>Jeri Rhodes</w:t>
      </w:r>
      <w:r w:rsidR="00C06BBE" w:rsidRPr="000C78F5">
        <w:rPr>
          <w:rStyle w:val="eop"/>
          <w:sz w:val="28"/>
          <w:szCs w:val="28"/>
        </w:rPr>
        <w:t> </w:t>
      </w:r>
    </w:p>
    <w:p w:rsidR="00C06BBE" w:rsidRDefault="00C06BBE" w:rsidP="00C06BBE">
      <w:pPr>
        <w:rPr>
          <w:rFonts w:ascii="Segoe UI" w:hAnsi="Segoe UI" w:cs="Segoe UI"/>
          <w:sz w:val="18"/>
          <w:szCs w:val="18"/>
        </w:rPr>
      </w:pPr>
      <w:r>
        <w:rPr>
          <w:rStyle w:val="eop"/>
        </w:rPr>
        <w:t> </w:t>
      </w:r>
    </w:p>
    <w:p w:rsidR="000C78F5" w:rsidRPr="000C78F5" w:rsidRDefault="000C78F5" w:rsidP="000C78F5">
      <w:pPr>
        <w:rPr>
          <w:sz w:val="28"/>
          <w:szCs w:val="28"/>
        </w:rPr>
      </w:pPr>
      <w:r w:rsidRPr="000C78F5">
        <w:rPr>
          <w:sz w:val="28"/>
          <w:szCs w:val="28"/>
        </w:rPr>
        <w:lastRenderedPageBreak/>
        <w:t>While the possibility of contracting Covid is not over, our lives have changed significantly and probably permanently since 2020 began.  One way to think about it is that the pre-Covid world unraveled what we counted on.  Our challenge is to consider and envision what we what the post-Covid world to look like.  What is that vision and how do we get there?</w:t>
      </w:r>
    </w:p>
    <w:p w:rsidR="000C78F5" w:rsidRPr="000C78F5" w:rsidRDefault="000C78F5" w:rsidP="000C78F5">
      <w:pPr>
        <w:rPr>
          <w:sz w:val="28"/>
          <w:szCs w:val="28"/>
        </w:rPr>
      </w:pPr>
      <w:r w:rsidRPr="000C78F5">
        <w:rPr>
          <w:sz w:val="28"/>
          <w:szCs w:val="28"/>
        </w:rPr>
        <w:t>One clear marker is the way the Kensington Rockville branch meets and “does business” is changing.  We held our monthly meetings very productively by Zoom, in large part due to the quality of speakers, thanks to Dian Belanger and Pat Stocker.  We are forging ahead this year with a more in-person approach, which I think will help us reestablish relationships and to build new ones.  This will not work for everyone, so we have to make sure we include those who are less available to be in person.  I invite you to consider our special interest groups, including the Book Discussion Group and Great Decisions, as other opportunities to interact with members and friends.</w:t>
      </w:r>
    </w:p>
    <w:p w:rsidR="000C78F5" w:rsidRPr="000C78F5" w:rsidRDefault="000C78F5" w:rsidP="000C78F5">
      <w:pPr>
        <w:rPr>
          <w:sz w:val="28"/>
          <w:szCs w:val="28"/>
        </w:rPr>
      </w:pPr>
      <w:r w:rsidRPr="000C78F5">
        <w:rPr>
          <w:sz w:val="28"/>
          <w:szCs w:val="28"/>
        </w:rPr>
        <w:t xml:space="preserve">I was not able to put together a leadership team this year for which I am solely responsible.  However, in the interim, Dian Belanger as Program Chair, Anita Rosen and Janet Crampton for Membership, Ruth Spivack as Treasurer and Margie Sullivan as Newsletter Manager have all continued to contribute in so very many ways.  I am eternally grateful for their commitment to the Branch and the organization.  I know that there are others who have stepped in less </w:t>
      </w:r>
      <w:r w:rsidR="00DD253B" w:rsidRPr="000C78F5">
        <w:rPr>
          <w:sz w:val="28"/>
          <w:szCs w:val="28"/>
        </w:rPr>
        <w:t>formally but</w:t>
      </w:r>
      <w:r w:rsidRPr="000C78F5">
        <w:rPr>
          <w:sz w:val="28"/>
          <w:szCs w:val="28"/>
        </w:rPr>
        <w:t xml:space="preserve"> </w:t>
      </w:r>
      <w:r w:rsidR="00DD253B" w:rsidRPr="000C78F5">
        <w:rPr>
          <w:sz w:val="28"/>
          <w:szCs w:val="28"/>
        </w:rPr>
        <w:t>helped</w:t>
      </w:r>
      <w:r w:rsidRPr="000C78F5">
        <w:rPr>
          <w:sz w:val="28"/>
          <w:szCs w:val="28"/>
        </w:rPr>
        <w:t xml:space="preserve"> and I sincerely appreciate those efforts as well.  However, leadership of the Branch still requires diverse voices and different skills sets in responding to many of our needs.  We need Public Policy leadership, which is an important part of our mission and people who are willing to co-chair some of our roles.  I will speak more about this at our September meeting.</w:t>
      </w:r>
    </w:p>
    <w:p w:rsidR="000C78F5" w:rsidRPr="000C78F5" w:rsidRDefault="000C78F5" w:rsidP="000C78F5">
      <w:pPr>
        <w:rPr>
          <w:sz w:val="28"/>
          <w:szCs w:val="28"/>
        </w:rPr>
      </w:pPr>
      <w:r w:rsidRPr="000C78F5">
        <w:rPr>
          <w:sz w:val="28"/>
          <w:szCs w:val="28"/>
        </w:rPr>
        <w:t>I hope everyone had a fulfilling summer and that the Fall of 2022 brings us together to enjoy and explore.</w:t>
      </w:r>
    </w:p>
    <w:p w:rsidR="008B07BA" w:rsidRDefault="008B07BA" w:rsidP="008B07BA">
      <w:pPr>
        <w:rPr>
          <w:rStyle w:val="textrun"/>
          <w:b/>
          <w:bCs/>
          <w:color w:val="31849B" w:themeColor="accent5" w:themeShade="BF"/>
          <w:sz w:val="40"/>
          <w:szCs w:val="40"/>
        </w:rPr>
      </w:pPr>
    </w:p>
    <w:p w:rsidR="000C78F5" w:rsidRDefault="000C78F5" w:rsidP="008B07BA">
      <w:pPr>
        <w:rPr>
          <w:rStyle w:val="textrun"/>
          <w:b/>
          <w:bCs/>
          <w:color w:val="31849B" w:themeColor="accent5" w:themeShade="BF"/>
          <w:sz w:val="40"/>
          <w:szCs w:val="40"/>
        </w:rPr>
      </w:pPr>
    </w:p>
    <w:p w:rsidR="000C78F5" w:rsidRDefault="000C78F5" w:rsidP="008B07BA">
      <w:pPr>
        <w:rPr>
          <w:rStyle w:val="textrun"/>
        </w:rPr>
      </w:pPr>
    </w:p>
    <w:p w:rsidR="000C78F5" w:rsidRDefault="000C78F5" w:rsidP="008B07BA">
      <w:pPr>
        <w:rPr>
          <w:rStyle w:val="textrun"/>
        </w:rPr>
      </w:pPr>
    </w:p>
    <w:p w:rsidR="000C78F5" w:rsidRDefault="000C78F5" w:rsidP="008B07BA">
      <w:pPr>
        <w:rPr>
          <w:rStyle w:val="textrun"/>
        </w:rPr>
      </w:pPr>
    </w:p>
    <w:p w:rsidR="000C78F5" w:rsidRDefault="000C78F5" w:rsidP="008B07BA">
      <w:pPr>
        <w:rPr>
          <w:rStyle w:val="textrun"/>
        </w:rPr>
      </w:pPr>
    </w:p>
    <w:p w:rsidR="000C78F5" w:rsidRDefault="000C78F5" w:rsidP="008B07BA">
      <w:pPr>
        <w:rPr>
          <w:rStyle w:val="textrun"/>
        </w:rPr>
      </w:pPr>
    </w:p>
    <w:p w:rsidR="008B07BA" w:rsidRPr="00FF79D2" w:rsidRDefault="008B07BA" w:rsidP="008B07BA">
      <w:pPr>
        <w:rPr>
          <w:rFonts w:cs="Arial"/>
          <w:b/>
          <w:bCs/>
          <w:color w:val="31849B" w:themeColor="accent5" w:themeShade="BF"/>
          <w:sz w:val="40"/>
          <w:szCs w:val="40"/>
        </w:rPr>
      </w:pPr>
      <w:r>
        <w:rPr>
          <w:rStyle w:val="textrun"/>
          <w:b/>
          <w:bCs/>
          <w:color w:val="31849B" w:themeColor="accent5" w:themeShade="BF"/>
          <w:sz w:val="40"/>
          <w:szCs w:val="40"/>
        </w:rPr>
        <w:t>B</w:t>
      </w:r>
      <w:r w:rsidRPr="00FF79D2">
        <w:rPr>
          <w:rStyle w:val="textrun"/>
          <w:b/>
          <w:bCs/>
          <w:color w:val="31849B" w:themeColor="accent5" w:themeShade="BF"/>
          <w:sz w:val="40"/>
          <w:szCs w:val="40"/>
        </w:rPr>
        <w:t>udget Report 2022-23</w:t>
      </w:r>
      <w:r w:rsidRPr="00FF79D2">
        <w:rPr>
          <w:rStyle w:val="eop"/>
          <w:rFonts w:cs="Arial"/>
          <w:b/>
          <w:bCs/>
          <w:color w:val="31849B" w:themeColor="accent5" w:themeShade="BF"/>
          <w:sz w:val="40"/>
          <w:szCs w:val="40"/>
        </w:rPr>
        <w:t> </w:t>
      </w:r>
    </w:p>
    <w:tbl>
      <w:tblPr>
        <w:tblW w:w="9151" w:type="dxa"/>
        <w:tblCellMar>
          <w:left w:w="0" w:type="dxa"/>
          <w:right w:w="0" w:type="dxa"/>
        </w:tblCellMar>
        <w:tblLook w:val="04A0"/>
      </w:tblPr>
      <w:tblGrid>
        <w:gridCol w:w="270"/>
        <w:gridCol w:w="1459"/>
        <w:gridCol w:w="1252"/>
        <w:gridCol w:w="1271"/>
        <w:gridCol w:w="1292"/>
        <w:gridCol w:w="1155"/>
        <w:gridCol w:w="222"/>
        <w:gridCol w:w="2212"/>
        <w:gridCol w:w="6"/>
        <w:gridCol w:w="6"/>
        <w:gridCol w:w="6"/>
      </w:tblGrid>
      <w:tr w:rsidR="008B07BA" w:rsidRPr="00BE508C" w:rsidTr="001A31FA">
        <w:trPr>
          <w:gridBefore w:val="1"/>
          <w:wBefore w:w="270" w:type="dxa"/>
        </w:trPr>
        <w:tc>
          <w:tcPr>
            <w:tcW w:w="8863" w:type="dxa"/>
            <w:gridSpan w:val="7"/>
            <w:noWrap/>
            <w:hideMark/>
          </w:tcPr>
          <w:p w:rsidR="008B07BA" w:rsidRPr="00BE508C" w:rsidRDefault="008B07BA" w:rsidP="001A31FA">
            <w:pPr>
              <w:widowControl/>
              <w:overflowPunct/>
              <w:autoSpaceDE/>
              <w:autoSpaceDN/>
              <w:adjustRightInd/>
              <w:spacing w:line="300" w:lineRule="atLeast"/>
              <w:textAlignment w:val="auto"/>
              <w:rPr>
                <w:rFonts w:ascii="Helvetica" w:hAnsi="Helvetica"/>
                <w:spacing w:val="3"/>
                <w:sz w:val="24"/>
                <w:szCs w:val="24"/>
              </w:rPr>
            </w:pPr>
          </w:p>
        </w:tc>
        <w:tc>
          <w:tcPr>
            <w:tcW w:w="0" w:type="auto"/>
            <w:noWrap/>
            <w:hideMark/>
          </w:tcPr>
          <w:p w:rsidR="008B07BA" w:rsidRPr="00BE508C" w:rsidRDefault="008B07BA" w:rsidP="001A31FA">
            <w:pPr>
              <w:widowControl/>
              <w:overflowPunct/>
              <w:autoSpaceDE/>
              <w:autoSpaceDN/>
              <w:adjustRightInd/>
              <w:jc w:val="right"/>
              <w:textAlignment w:val="auto"/>
              <w:rPr>
                <w:rFonts w:ascii="Helvetica" w:hAnsi="Helvetica"/>
                <w:color w:val="222222"/>
                <w:spacing w:val="3"/>
                <w:sz w:val="24"/>
                <w:szCs w:val="24"/>
              </w:rPr>
            </w:pPr>
          </w:p>
        </w:tc>
        <w:tc>
          <w:tcPr>
            <w:tcW w:w="0" w:type="auto"/>
            <w:noWrap/>
            <w:hideMark/>
          </w:tcPr>
          <w:p w:rsidR="008B07BA" w:rsidRPr="00BE508C" w:rsidRDefault="008B07BA" w:rsidP="001A31FA">
            <w:pPr>
              <w:widowControl/>
              <w:overflowPunct/>
              <w:autoSpaceDE/>
              <w:autoSpaceDN/>
              <w:adjustRightInd/>
              <w:jc w:val="right"/>
              <w:textAlignment w:val="auto"/>
              <w:rPr>
                <w:rFonts w:ascii="Helvetica" w:hAnsi="Helvetica"/>
                <w:color w:val="222222"/>
                <w:spacing w:val="3"/>
                <w:sz w:val="24"/>
                <w:szCs w:val="24"/>
              </w:rPr>
            </w:pPr>
          </w:p>
        </w:tc>
        <w:tc>
          <w:tcPr>
            <w:tcW w:w="0" w:type="auto"/>
            <w:vMerge w:val="restart"/>
            <w:noWrap/>
            <w:hideMark/>
          </w:tcPr>
          <w:p w:rsidR="008B07BA" w:rsidRPr="00BE508C" w:rsidRDefault="008B07BA" w:rsidP="001A31FA">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8B07BA" w:rsidRPr="00BE508C" w:rsidTr="001A31FA">
        <w:trPr>
          <w:gridBefore w:val="1"/>
          <w:wBefore w:w="270" w:type="dxa"/>
        </w:trPr>
        <w:tc>
          <w:tcPr>
            <w:tcW w:w="8863" w:type="dxa"/>
            <w:gridSpan w:val="7"/>
            <w:noWrap/>
          </w:tcPr>
          <w:p w:rsidR="008B07BA" w:rsidRPr="00BE508C" w:rsidRDefault="008B07BA" w:rsidP="001A31FA">
            <w:pPr>
              <w:widowControl/>
              <w:overflowPunct/>
              <w:autoSpaceDE/>
              <w:autoSpaceDN/>
              <w:adjustRightInd/>
              <w:spacing w:line="300" w:lineRule="atLeast"/>
              <w:textAlignment w:val="auto"/>
              <w:rPr>
                <w:rFonts w:ascii="Helvetica" w:hAnsi="Helvetica"/>
                <w:spacing w:val="3"/>
                <w:sz w:val="24"/>
                <w:szCs w:val="24"/>
              </w:rPr>
            </w:pPr>
          </w:p>
        </w:tc>
        <w:tc>
          <w:tcPr>
            <w:tcW w:w="0" w:type="auto"/>
            <w:noWrap/>
          </w:tcPr>
          <w:p w:rsidR="008B07BA" w:rsidRPr="00BE508C" w:rsidRDefault="008B07BA" w:rsidP="001A31FA">
            <w:pPr>
              <w:widowControl/>
              <w:overflowPunct/>
              <w:autoSpaceDE/>
              <w:autoSpaceDN/>
              <w:adjustRightInd/>
              <w:jc w:val="right"/>
              <w:textAlignment w:val="auto"/>
              <w:rPr>
                <w:rFonts w:ascii="Helvetica" w:hAnsi="Helvetica"/>
                <w:color w:val="222222"/>
                <w:spacing w:val="3"/>
                <w:sz w:val="24"/>
                <w:szCs w:val="24"/>
              </w:rPr>
            </w:pPr>
          </w:p>
        </w:tc>
        <w:tc>
          <w:tcPr>
            <w:tcW w:w="0" w:type="auto"/>
            <w:noWrap/>
          </w:tcPr>
          <w:p w:rsidR="008B07BA" w:rsidRPr="00BE508C" w:rsidRDefault="008B07BA" w:rsidP="001A31FA">
            <w:pPr>
              <w:widowControl/>
              <w:overflowPunct/>
              <w:autoSpaceDE/>
              <w:autoSpaceDN/>
              <w:adjustRightInd/>
              <w:jc w:val="right"/>
              <w:textAlignment w:val="auto"/>
              <w:rPr>
                <w:rFonts w:ascii="Helvetica" w:hAnsi="Helvetica"/>
                <w:color w:val="222222"/>
                <w:spacing w:val="3"/>
                <w:sz w:val="24"/>
                <w:szCs w:val="24"/>
              </w:rPr>
            </w:pPr>
          </w:p>
        </w:tc>
        <w:tc>
          <w:tcPr>
            <w:tcW w:w="0" w:type="auto"/>
            <w:vMerge/>
            <w:noWrap/>
          </w:tcPr>
          <w:p w:rsidR="008B07BA" w:rsidRPr="00BE508C" w:rsidRDefault="008B07BA" w:rsidP="001A31FA">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8B07BA" w:rsidTr="001A31FA">
        <w:tblPrEx>
          <w:tblCellMar>
            <w:left w:w="108" w:type="dxa"/>
            <w:right w:w="108" w:type="dxa"/>
          </w:tblCellMar>
        </w:tblPrEx>
        <w:trPr>
          <w:gridAfter w:val="4"/>
          <w:wAfter w:w="2410" w:type="dxa"/>
          <w:trHeight w:val="288"/>
        </w:trPr>
        <w:tc>
          <w:tcPr>
            <w:tcW w:w="6741" w:type="dxa"/>
            <w:gridSpan w:val="7"/>
            <w:tcBorders>
              <w:top w:val="nil"/>
              <w:left w:val="nil"/>
              <w:bottom w:val="nil"/>
              <w:right w:val="nil"/>
            </w:tcBorders>
            <w:shd w:val="clear" w:color="auto" w:fill="auto"/>
            <w:noWrap/>
            <w:vAlign w:val="bottom"/>
            <w:hideMark/>
          </w:tcPr>
          <w:p w:rsidR="008B07BA" w:rsidRDefault="008B07BA" w:rsidP="001A31FA">
            <w:pPr>
              <w:widowControl/>
              <w:overflowPunct/>
              <w:autoSpaceDE/>
              <w:autoSpaceDN/>
              <w:adjustRightInd/>
              <w:textAlignment w:val="auto"/>
              <w:rPr>
                <w:rFonts w:ascii="Calibri" w:hAnsi="Calibri" w:cs="Calibri"/>
                <w:b/>
                <w:bCs/>
                <w:color w:val="000000"/>
                <w:szCs w:val="22"/>
              </w:rPr>
            </w:pPr>
            <w:r>
              <w:rPr>
                <w:rFonts w:ascii="Calibri" w:hAnsi="Calibri" w:cs="Calibri"/>
                <w:b/>
                <w:bCs/>
                <w:color w:val="000000"/>
                <w:szCs w:val="22"/>
              </w:rPr>
              <w:t xml:space="preserve">For discussion, </w:t>
            </w:r>
            <w:r w:rsidR="00DD253B">
              <w:rPr>
                <w:rFonts w:ascii="Calibri" w:hAnsi="Calibri" w:cs="Calibri"/>
                <w:b/>
                <w:bCs/>
                <w:color w:val="000000"/>
                <w:szCs w:val="22"/>
              </w:rPr>
              <w:t>amendments,</w:t>
            </w:r>
            <w:r>
              <w:rPr>
                <w:rFonts w:ascii="Calibri" w:hAnsi="Calibri" w:cs="Calibri"/>
                <w:b/>
                <w:bCs/>
                <w:color w:val="000000"/>
                <w:szCs w:val="22"/>
              </w:rPr>
              <w:t xml:space="preserve"> and approval at the September Branch meeting</w:t>
            </w:r>
          </w:p>
        </w:tc>
      </w:tr>
      <w:tr w:rsidR="008B07BA" w:rsidTr="001A31FA">
        <w:tblPrEx>
          <w:tblCellMar>
            <w:left w:w="108" w:type="dxa"/>
            <w:right w:w="108" w:type="dxa"/>
          </w:tblCellMar>
        </w:tblPrEx>
        <w:trPr>
          <w:gridAfter w:val="4"/>
          <w:wAfter w:w="2410" w:type="dxa"/>
          <w:trHeight w:val="288"/>
        </w:trPr>
        <w:tc>
          <w:tcPr>
            <w:tcW w:w="2981" w:type="dxa"/>
            <w:gridSpan w:val="3"/>
            <w:tcBorders>
              <w:top w:val="nil"/>
              <w:left w:val="nil"/>
              <w:bottom w:val="nil"/>
              <w:right w:val="nil"/>
            </w:tcBorders>
            <w:shd w:val="clear" w:color="auto" w:fill="auto"/>
            <w:noWrap/>
            <w:vAlign w:val="bottom"/>
            <w:hideMark/>
          </w:tcPr>
          <w:p w:rsidR="008B07BA" w:rsidRDefault="008B07BA" w:rsidP="001A31FA">
            <w:pPr>
              <w:rPr>
                <w:rFonts w:ascii="Calibri" w:hAnsi="Calibri" w:cs="Calibri"/>
                <w:b/>
                <w:bCs/>
                <w:color w:val="000000"/>
                <w:szCs w:val="22"/>
              </w:rPr>
            </w:pPr>
            <w:r>
              <w:rPr>
                <w:rFonts w:ascii="Calibri" w:hAnsi="Calibri" w:cs="Calibri"/>
                <w:b/>
                <w:bCs/>
                <w:color w:val="000000"/>
                <w:szCs w:val="22"/>
              </w:rPr>
              <w:lastRenderedPageBreak/>
              <w:t>Ruth Spivack, Treasurer</w:t>
            </w:r>
          </w:p>
        </w:tc>
        <w:tc>
          <w:tcPr>
            <w:tcW w:w="1271"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b/>
                <w:bCs/>
                <w:color w:val="000000"/>
                <w:szCs w:val="22"/>
              </w:rPr>
            </w:pPr>
          </w:p>
        </w:tc>
        <w:tc>
          <w:tcPr>
            <w:tcW w:w="1292"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155" w:type="dxa"/>
            <w:tcBorders>
              <w:top w:val="nil"/>
              <w:left w:val="nil"/>
              <w:bottom w:val="nil"/>
              <w:right w:val="nil"/>
            </w:tcBorders>
            <w:shd w:val="clear" w:color="auto" w:fill="auto"/>
            <w:noWrap/>
            <w:vAlign w:val="bottom"/>
            <w:hideMark/>
          </w:tcPr>
          <w:p w:rsidR="008B07BA" w:rsidRDefault="008B07BA" w:rsidP="001A31FA">
            <w:pP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noWrap/>
            <w:vAlign w:val="bottom"/>
            <w:hideMark/>
          </w:tcPr>
          <w:p w:rsidR="008B07BA" w:rsidRDefault="008B07BA" w:rsidP="001A31FA">
            <w:pPr>
              <w:rPr>
                <w:sz w:val="20"/>
              </w:rPr>
            </w:pPr>
          </w:p>
        </w:tc>
        <w:tc>
          <w:tcPr>
            <w:tcW w:w="1252"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71"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92"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155" w:type="dxa"/>
            <w:tcBorders>
              <w:top w:val="nil"/>
              <w:left w:val="nil"/>
              <w:bottom w:val="nil"/>
              <w:right w:val="nil"/>
            </w:tcBorders>
            <w:shd w:val="clear" w:color="auto" w:fill="auto"/>
            <w:noWrap/>
            <w:vAlign w:val="bottom"/>
            <w:hideMark/>
          </w:tcPr>
          <w:p w:rsidR="008B07BA" w:rsidRDefault="008B07BA" w:rsidP="001A31FA">
            <w:pP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noWrap/>
            <w:vAlign w:val="bottom"/>
            <w:hideMark/>
          </w:tcPr>
          <w:p w:rsidR="008B07BA" w:rsidRDefault="008B07BA" w:rsidP="001A31FA">
            <w:pPr>
              <w:rPr>
                <w:sz w:val="20"/>
              </w:rPr>
            </w:pPr>
          </w:p>
        </w:tc>
        <w:tc>
          <w:tcPr>
            <w:tcW w:w="1252"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2020-21</w:t>
            </w: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2021-22</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2021-22</w:t>
            </w: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2022-23</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b/>
                <w:bCs/>
                <w:color w:val="000000"/>
                <w:szCs w:val="22"/>
              </w:rPr>
            </w:pPr>
          </w:p>
        </w:tc>
      </w:tr>
      <w:tr w:rsidR="008B07BA" w:rsidTr="001A31FA">
        <w:tblPrEx>
          <w:tblCellMar>
            <w:left w:w="108" w:type="dxa"/>
            <w:right w:w="108" w:type="dxa"/>
          </w:tblCellMar>
        </w:tblPrEx>
        <w:trPr>
          <w:gridAfter w:val="4"/>
          <w:wAfter w:w="2410" w:type="dxa"/>
          <w:trHeight w:val="315"/>
        </w:trPr>
        <w:tc>
          <w:tcPr>
            <w:tcW w:w="1729" w:type="dxa"/>
            <w:gridSpan w:val="2"/>
            <w:tcBorders>
              <w:top w:val="nil"/>
              <w:left w:val="nil"/>
              <w:bottom w:val="nil"/>
              <w:right w:val="nil"/>
            </w:tcBorders>
            <w:shd w:val="clear" w:color="auto" w:fill="auto"/>
            <w:vAlign w:val="center"/>
            <w:hideMark/>
          </w:tcPr>
          <w:p w:rsidR="008B07BA" w:rsidRDefault="008B07BA" w:rsidP="001A31FA">
            <w:pPr>
              <w:rPr>
                <w:sz w:val="20"/>
              </w:rPr>
            </w:pPr>
          </w:p>
        </w:tc>
        <w:tc>
          <w:tcPr>
            <w:tcW w:w="1252" w:type="dxa"/>
            <w:tcBorders>
              <w:top w:val="nil"/>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Actual</w:t>
            </w:r>
          </w:p>
        </w:tc>
        <w:tc>
          <w:tcPr>
            <w:tcW w:w="1271" w:type="dxa"/>
            <w:tcBorders>
              <w:top w:val="nil"/>
              <w:left w:val="nil"/>
              <w:bottom w:val="single" w:sz="8" w:space="0" w:color="auto"/>
              <w:right w:val="nil"/>
            </w:tcBorders>
            <w:shd w:val="clear" w:color="auto" w:fill="auto"/>
            <w:noWrap/>
            <w:vAlign w:val="center"/>
            <w:hideMark/>
          </w:tcPr>
          <w:p w:rsidR="008B07BA" w:rsidRDefault="008B07BA" w:rsidP="001A31FA">
            <w:pPr>
              <w:rPr>
                <w:rFonts w:ascii="Calibri" w:hAnsi="Calibri" w:cs="Calibri"/>
                <w:b/>
                <w:bCs/>
                <w:color w:val="000000"/>
                <w:szCs w:val="22"/>
              </w:rPr>
            </w:pPr>
            <w:r>
              <w:rPr>
                <w:rFonts w:ascii="Calibri" w:hAnsi="Calibri" w:cs="Calibri"/>
                <w:b/>
                <w:bCs/>
                <w:color w:val="000000"/>
                <w:szCs w:val="22"/>
              </w:rPr>
              <w:t>Proposed</w:t>
            </w:r>
          </w:p>
        </w:tc>
        <w:tc>
          <w:tcPr>
            <w:tcW w:w="1292" w:type="dxa"/>
            <w:tcBorders>
              <w:top w:val="nil"/>
              <w:left w:val="nil"/>
              <w:bottom w:val="single" w:sz="8" w:space="0" w:color="auto"/>
              <w:right w:val="nil"/>
            </w:tcBorders>
            <w:shd w:val="clear" w:color="auto" w:fill="auto"/>
            <w:vAlign w:val="center"/>
            <w:hideMark/>
          </w:tcPr>
          <w:p w:rsidR="008B07BA" w:rsidRDefault="008B07BA" w:rsidP="001A31FA">
            <w:pPr>
              <w:rPr>
                <w:rFonts w:ascii="Calibri" w:hAnsi="Calibri" w:cs="Calibri"/>
                <w:b/>
                <w:bCs/>
                <w:color w:val="000000"/>
                <w:szCs w:val="22"/>
              </w:rPr>
            </w:pPr>
            <w:r>
              <w:rPr>
                <w:rFonts w:ascii="Calibri" w:hAnsi="Calibri" w:cs="Calibri"/>
                <w:b/>
                <w:bCs/>
                <w:color w:val="000000"/>
                <w:szCs w:val="22"/>
              </w:rPr>
              <w:t>Actual</w:t>
            </w:r>
          </w:p>
        </w:tc>
        <w:tc>
          <w:tcPr>
            <w:tcW w:w="1155" w:type="dxa"/>
            <w:tcBorders>
              <w:top w:val="nil"/>
              <w:left w:val="nil"/>
              <w:bottom w:val="single" w:sz="8" w:space="0" w:color="auto"/>
              <w:right w:val="nil"/>
            </w:tcBorders>
            <w:shd w:val="clear" w:color="auto" w:fill="auto"/>
            <w:vAlign w:val="center"/>
            <w:hideMark/>
          </w:tcPr>
          <w:p w:rsidR="008B07BA" w:rsidRDefault="008B07BA" w:rsidP="001A31FA">
            <w:pPr>
              <w:rPr>
                <w:rFonts w:ascii="Calibri" w:hAnsi="Calibri" w:cs="Calibri"/>
                <w:b/>
                <w:bCs/>
                <w:color w:val="000000"/>
                <w:szCs w:val="22"/>
              </w:rPr>
            </w:pPr>
            <w:r>
              <w:rPr>
                <w:rFonts w:ascii="Calibri" w:hAnsi="Calibri" w:cs="Calibri"/>
                <w:b/>
                <w:bCs/>
                <w:color w:val="000000"/>
                <w:szCs w:val="22"/>
              </w:rPr>
              <w:t>Proposed</w:t>
            </w:r>
          </w:p>
        </w:tc>
        <w:tc>
          <w:tcPr>
            <w:tcW w:w="4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b/>
                <w:bCs/>
                <w:color w:val="000000"/>
                <w:szCs w:val="22"/>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b/>
                <w:bCs/>
                <w:color w:val="000000"/>
                <w:szCs w:val="22"/>
              </w:rPr>
            </w:pPr>
            <w:r>
              <w:rPr>
                <w:rFonts w:ascii="Calibri" w:hAnsi="Calibri" w:cs="Calibri"/>
                <w:b/>
                <w:bCs/>
                <w:color w:val="000000"/>
                <w:szCs w:val="22"/>
              </w:rPr>
              <w:t>Income</w:t>
            </w:r>
          </w:p>
        </w:tc>
        <w:tc>
          <w:tcPr>
            <w:tcW w:w="1252" w:type="dxa"/>
            <w:tcBorders>
              <w:top w:val="nil"/>
              <w:left w:val="nil"/>
              <w:bottom w:val="nil"/>
              <w:right w:val="nil"/>
            </w:tcBorders>
            <w:shd w:val="clear" w:color="auto" w:fill="auto"/>
            <w:noWrap/>
            <w:vAlign w:val="center"/>
            <w:hideMark/>
          </w:tcPr>
          <w:p w:rsidR="008B07BA" w:rsidRDefault="008B07BA" w:rsidP="001A31FA">
            <w:pPr>
              <w:rPr>
                <w:rFonts w:ascii="Calibri" w:hAnsi="Calibri" w:cs="Calibri"/>
                <w:b/>
                <w:bCs/>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sz w:val="20"/>
              </w:rPr>
            </w:pPr>
          </w:p>
        </w:tc>
        <w:tc>
          <w:tcPr>
            <w:tcW w:w="1292" w:type="dxa"/>
            <w:tcBorders>
              <w:top w:val="nil"/>
              <w:left w:val="nil"/>
              <w:bottom w:val="nil"/>
              <w:right w:val="nil"/>
            </w:tcBorders>
            <w:shd w:val="clear" w:color="auto" w:fill="auto"/>
            <w:vAlign w:val="center"/>
            <w:hideMark/>
          </w:tcPr>
          <w:p w:rsidR="008B07BA" w:rsidRDefault="008B07BA" w:rsidP="001A31FA">
            <w:pPr>
              <w:rPr>
                <w:sz w:val="20"/>
              </w:rPr>
            </w:pPr>
          </w:p>
        </w:tc>
        <w:tc>
          <w:tcPr>
            <w:tcW w:w="1155" w:type="dxa"/>
            <w:tcBorders>
              <w:top w:val="nil"/>
              <w:left w:val="nil"/>
              <w:bottom w:val="nil"/>
              <w:right w:val="nil"/>
            </w:tcBorders>
            <w:shd w:val="clear" w:color="auto" w:fill="auto"/>
            <w:vAlign w:val="center"/>
            <w:hideMark/>
          </w:tcPr>
          <w:p w:rsidR="008B07BA" w:rsidRDefault="008B07BA" w:rsidP="001A31FA">
            <w:pP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 xml:space="preserve">Dues </w:t>
            </w:r>
          </w:p>
        </w:tc>
        <w:tc>
          <w:tcPr>
            <w:tcW w:w="1252"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512.00 </w:t>
            </w: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576.00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512.00 </w:t>
            </w: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w:t>
            </w:r>
            <w:r w:rsidR="00DD253B">
              <w:rPr>
                <w:rFonts w:ascii="Calibri" w:hAnsi="Calibri" w:cs="Calibri"/>
                <w:color w:val="000000"/>
                <w:szCs w:val="22"/>
              </w:rPr>
              <w:t>$ 576.00</w:t>
            </w:r>
            <w:r>
              <w:rPr>
                <w:rFonts w:ascii="Calibri" w:hAnsi="Calibri" w:cs="Calibri"/>
                <w:color w:val="000000"/>
                <w:szCs w:val="22"/>
              </w:rPr>
              <w:t xml:space="preserve">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300"/>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Donations</w:t>
            </w:r>
          </w:p>
        </w:tc>
        <w:tc>
          <w:tcPr>
            <w:tcW w:w="1252"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139.00 </w:t>
            </w: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150.00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25.00 </w:t>
            </w: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w:t>
            </w:r>
            <w:r w:rsidR="00DD253B">
              <w:rPr>
                <w:rFonts w:ascii="Calibri" w:hAnsi="Calibri" w:cs="Calibri"/>
                <w:color w:val="000000"/>
                <w:szCs w:val="22"/>
              </w:rPr>
              <w:t>$ 125.00</w:t>
            </w:r>
            <w:r>
              <w:rPr>
                <w:rFonts w:ascii="Calibri" w:hAnsi="Calibri" w:cs="Calibri"/>
                <w:color w:val="000000"/>
                <w:szCs w:val="22"/>
              </w:rPr>
              <w:t xml:space="preserve">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864"/>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In kind contributions (mailings)</w:t>
            </w:r>
          </w:p>
        </w:tc>
        <w:tc>
          <w:tcPr>
            <w:tcW w:w="1252"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77.50 </w:t>
            </w:r>
          </w:p>
        </w:tc>
        <w:tc>
          <w:tcPr>
            <w:tcW w:w="1271"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38.40 </w:t>
            </w: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40.00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Refunds</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92" w:type="dxa"/>
            <w:tcBorders>
              <w:top w:val="nil"/>
              <w:left w:val="nil"/>
              <w:bottom w:val="nil"/>
              <w:right w:val="nil"/>
            </w:tcBorders>
            <w:shd w:val="clear" w:color="auto" w:fill="auto"/>
            <w:vAlign w:val="center"/>
            <w:hideMark/>
          </w:tcPr>
          <w:p w:rsidR="008B07BA" w:rsidRDefault="008B07BA" w:rsidP="001A31FA">
            <w:pPr>
              <w:rPr>
                <w:sz w:val="20"/>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jc w:val="center"/>
              <w:rPr>
                <w:sz w:val="20"/>
              </w:rPr>
            </w:pPr>
          </w:p>
        </w:tc>
      </w:tr>
      <w:tr w:rsidR="008B07BA" w:rsidTr="001A31FA">
        <w:tblPrEx>
          <w:tblCellMar>
            <w:left w:w="108" w:type="dxa"/>
            <w:right w:w="108" w:type="dxa"/>
          </w:tblCellMar>
        </w:tblPrEx>
        <w:trPr>
          <w:gridAfter w:val="4"/>
          <w:wAfter w:w="2410" w:type="dxa"/>
          <w:trHeight w:val="720"/>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Reserve from Checking</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92" w:type="dxa"/>
            <w:tcBorders>
              <w:top w:val="nil"/>
              <w:left w:val="nil"/>
              <w:bottom w:val="nil"/>
              <w:right w:val="nil"/>
            </w:tcBorders>
            <w:shd w:val="clear" w:color="auto" w:fill="auto"/>
            <w:vAlign w:val="center"/>
            <w:hideMark/>
          </w:tcPr>
          <w:p w:rsidR="008B07BA" w:rsidRDefault="008B07BA" w:rsidP="001A31FA">
            <w:pPr>
              <w:rPr>
                <w:sz w:val="20"/>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jc w:val="center"/>
              <w:rPr>
                <w:sz w:val="20"/>
              </w:rPr>
            </w:pPr>
          </w:p>
        </w:tc>
      </w:tr>
      <w:tr w:rsidR="008B07BA" w:rsidTr="001A31FA">
        <w:tblPrEx>
          <w:tblCellMar>
            <w:left w:w="108" w:type="dxa"/>
            <w:right w:w="108" w:type="dxa"/>
          </w:tblCellMar>
        </w:tblPrEx>
        <w:trPr>
          <w:gridAfter w:val="4"/>
          <w:wAfter w:w="2410" w:type="dxa"/>
          <w:trHeight w:val="300"/>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b/>
                <w:bCs/>
                <w:color w:val="000000"/>
                <w:szCs w:val="22"/>
              </w:rPr>
            </w:pPr>
            <w:r>
              <w:rPr>
                <w:rFonts w:ascii="Calibri" w:hAnsi="Calibri" w:cs="Calibri"/>
                <w:b/>
                <w:bCs/>
                <w:color w:val="000000"/>
                <w:szCs w:val="22"/>
              </w:rPr>
              <w:t>Total Income</w:t>
            </w:r>
          </w:p>
        </w:tc>
        <w:tc>
          <w:tcPr>
            <w:tcW w:w="1252"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     728.50 </w:t>
            </w:r>
          </w:p>
        </w:tc>
        <w:tc>
          <w:tcPr>
            <w:tcW w:w="1271"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     726.00 </w:t>
            </w:r>
          </w:p>
        </w:tc>
        <w:tc>
          <w:tcPr>
            <w:tcW w:w="1292"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     575.40 </w:t>
            </w:r>
          </w:p>
        </w:tc>
        <w:tc>
          <w:tcPr>
            <w:tcW w:w="1155"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w:t>
            </w:r>
            <w:r w:rsidR="00DD253B">
              <w:rPr>
                <w:rFonts w:ascii="Calibri" w:hAnsi="Calibri" w:cs="Calibri"/>
                <w:b/>
                <w:bCs/>
                <w:color w:val="000000"/>
                <w:szCs w:val="22"/>
              </w:rPr>
              <w:t>$ 741.00</w:t>
            </w:r>
            <w:r>
              <w:rPr>
                <w:rFonts w:ascii="Calibri" w:hAnsi="Calibri" w:cs="Calibri"/>
                <w:b/>
                <w:bCs/>
                <w:color w:val="000000"/>
                <w:szCs w:val="22"/>
              </w:rPr>
              <w:t xml:space="preserve">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b/>
                <w:bCs/>
                <w:color w:val="000000"/>
                <w:szCs w:val="22"/>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sz w:val="20"/>
              </w:rPr>
            </w:pPr>
          </w:p>
        </w:tc>
        <w:tc>
          <w:tcPr>
            <w:tcW w:w="1252" w:type="dxa"/>
            <w:tcBorders>
              <w:top w:val="nil"/>
              <w:left w:val="nil"/>
              <w:bottom w:val="nil"/>
              <w:right w:val="nil"/>
            </w:tcBorders>
            <w:shd w:val="clear" w:color="auto" w:fill="auto"/>
            <w:noWrap/>
            <w:vAlign w:val="center"/>
            <w:hideMark/>
          </w:tcPr>
          <w:p w:rsidR="008B07BA" w:rsidRDefault="008B07BA" w:rsidP="001A31FA">
            <w:pPr>
              <w:rPr>
                <w:sz w:val="20"/>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sz w:val="20"/>
              </w:rPr>
            </w:pPr>
          </w:p>
        </w:tc>
        <w:tc>
          <w:tcPr>
            <w:tcW w:w="1292"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jc w:val="cente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b/>
                <w:bCs/>
                <w:color w:val="000000"/>
                <w:szCs w:val="22"/>
              </w:rPr>
            </w:pPr>
            <w:r>
              <w:rPr>
                <w:rFonts w:ascii="Calibri" w:hAnsi="Calibri" w:cs="Calibri"/>
                <w:b/>
                <w:bCs/>
                <w:color w:val="000000"/>
                <w:szCs w:val="22"/>
              </w:rPr>
              <w:t>Expenses</w:t>
            </w:r>
          </w:p>
        </w:tc>
        <w:tc>
          <w:tcPr>
            <w:tcW w:w="1252" w:type="dxa"/>
            <w:tcBorders>
              <w:top w:val="nil"/>
              <w:left w:val="nil"/>
              <w:bottom w:val="nil"/>
              <w:right w:val="nil"/>
            </w:tcBorders>
            <w:shd w:val="clear" w:color="auto" w:fill="auto"/>
            <w:noWrap/>
            <w:vAlign w:val="center"/>
            <w:hideMark/>
          </w:tcPr>
          <w:p w:rsidR="008B07BA" w:rsidRDefault="008B07BA" w:rsidP="001A31FA">
            <w:pPr>
              <w:rPr>
                <w:rFonts w:ascii="Calibri" w:hAnsi="Calibri" w:cs="Calibri"/>
                <w:b/>
                <w:bCs/>
                <w:color w:val="000000"/>
                <w:szCs w:val="22"/>
              </w:rPr>
            </w:pPr>
          </w:p>
        </w:tc>
        <w:tc>
          <w:tcPr>
            <w:tcW w:w="1271" w:type="dxa"/>
            <w:tcBorders>
              <w:top w:val="nil"/>
              <w:left w:val="nil"/>
              <w:bottom w:val="nil"/>
              <w:right w:val="nil"/>
            </w:tcBorders>
            <w:shd w:val="clear" w:color="auto" w:fill="auto"/>
            <w:noWrap/>
            <w:vAlign w:val="bottom"/>
            <w:hideMark/>
          </w:tcPr>
          <w:p w:rsidR="008B07BA" w:rsidRDefault="008B07BA" w:rsidP="001A31FA">
            <w:pPr>
              <w:jc w:val="center"/>
              <w:rPr>
                <w:sz w:val="20"/>
              </w:rPr>
            </w:pPr>
          </w:p>
        </w:tc>
        <w:tc>
          <w:tcPr>
            <w:tcW w:w="1292" w:type="dxa"/>
            <w:tcBorders>
              <w:top w:val="nil"/>
              <w:left w:val="nil"/>
              <w:bottom w:val="nil"/>
              <w:right w:val="nil"/>
            </w:tcBorders>
            <w:shd w:val="clear" w:color="auto" w:fill="auto"/>
            <w:vAlign w:val="center"/>
            <w:hideMark/>
          </w:tcPr>
          <w:p w:rsidR="008B07BA" w:rsidRDefault="008B07BA" w:rsidP="001A31FA">
            <w:pPr>
              <w:rPr>
                <w:sz w:val="20"/>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jc w:val="cente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 xml:space="preserve">Leg. Briefing </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80.00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80.00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576"/>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MD. Leg. Agenda</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100.00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w:t>
            </w:r>
            <w:r w:rsidR="00DD253B">
              <w:rPr>
                <w:rFonts w:ascii="Calibri" w:hAnsi="Calibri" w:cs="Calibri"/>
                <w:color w:val="000000"/>
                <w:szCs w:val="22"/>
              </w:rPr>
              <w:t>$ 100.00</w:t>
            </w:r>
            <w:r>
              <w:rPr>
                <w:rFonts w:ascii="Calibri" w:hAnsi="Calibri" w:cs="Calibri"/>
                <w:color w:val="000000"/>
                <w:szCs w:val="22"/>
              </w:rPr>
              <w:t xml:space="preserve">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President</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25.00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25.00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Membership</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25.00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25.00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Program</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250.00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w:t>
            </w:r>
            <w:r w:rsidR="00DD253B">
              <w:rPr>
                <w:rFonts w:ascii="Calibri" w:hAnsi="Calibri" w:cs="Calibri"/>
                <w:color w:val="000000"/>
                <w:szCs w:val="22"/>
              </w:rPr>
              <w:t>$ 250.00</w:t>
            </w:r>
            <w:r>
              <w:rPr>
                <w:rFonts w:ascii="Calibri" w:hAnsi="Calibri" w:cs="Calibri"/>
                <w:color w:val="000000"/>
                <w:szCs w:val="22"/>
              </w:rPr>
              <w:t xml:space="preserve">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Branch social</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200.00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w:t>
            </w:r>
            <w:r w:rsidR="00DD253B">
              <w:rPr>
                <w:rFonts w:ascii="Calibri" w:hAnsi="Calibri" w:cs="Calibri"/>
                <w:color w:val="000000"/>
                <w:szCs w:val="22"/>
              </w:rPr>
              <w:t>$ 200.00</w:t>
            </w:r>
            <w:r>
              <w:rPr>
                <w:rFonts w:ascii="Calibri" w:hAnsi="Calibri" w:cs="Calibri"/>
                <w:color w:val="000000"/>
                <w:szCs w:val="22"/>
              </w:rPr>
              <w:t xml:space="preserve">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576"/>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Yearbook printing</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60.00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75.00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576"/>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Yearbook mailing</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27.00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40.00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900"/>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Newsletter Printing/Mailing</w:t>
            </w:r>
          </w:p>
        </w:tc>
        <w:tc>
          <w:tcPr>
            <w:tcW w:w="1252"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87.50 </w:t>
            </w: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90.00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38.40 </w:t>
            </w: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40.00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576"/>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Nat. Convention</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92" w:type="dxa"/>
            <w:tcBorders>
              <w:top w:val="nil"/>
              <w:left w:val="nil"/>
              <w:bottom w:val="nil"/>
              <w:right w:val="nil"/>
            </w:tcBorders>
            <w:shd w:val="clear" w:color="auto" w:fill="auto"/>
            <w:vAlign w:val="center"/>
            <w:hideMark/>
          </w:tcPr>
          <w:p w:rsidR="008B07BA" w:rsidRDefault="008B07BA" w:rsidP="001A31FA">
            <w:pPr>
              <w:rPr>
                <w:sz w:val="20"/>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jc w:val="center"/>
              <w:rPr>
                <w:sz w:val="20"/>
              </w:rPr>
            </w:pPr>
          </w:p>
        </w:tc>
      </w:tr>
      <w:tr w:rsidR="008B07BA" w:rsidTr="001A31FA">
        <w:tblPrEx>
          <w:tblCellMar>
            <w:left w:w="108" w:type="dxa"/>
            <w:right w:w="108" w:type="dxa"/>
          </w:tblCellMar>
        </w:tblPrEx>
        <w:trPr>
          <w:gridAfter w:val="4"/>
          <w:wAfter w:w="2410" w:type="dxa"/>
          <w:trHeight w:val="900"/>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Natl Conf of Women Student Leaders (NCCWSL)</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500.00 </w:t>
            </w:r>
          </w:p>
        </w:tc>
        <w:tc>
          <w:tcPr>
            <w:tcW w:w="1292"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500.00 </w:t>
            </w:r>
          </w:p>
        </w:tc>
        <w:tc>
          <w:tcPr>
            <w:tcW w:w="1155" w:type="dxa"/>
            <w:tcBorders>
              <w:top w:val="nil"/>
              <w:left w:val="nil"/>
              <w:bottom w:val="nil"/>
              <w:right w:val="nil"/>
            </w:tcBorders>
            <w:shd w:val="clear" w:color="auto" w:fill="auto"/>
            <w:vAlign w:val="center"/>
            <w:hideMark/>
          </w:tcPr>
          <w:p w:rsidR="008B07BA" w:rsidRDefault="008B07BA" w:rsidP="001A31FA">
            <w:pPr>
              <w:jc w:val="center"/>
              <w:rPr>
                <w:rFonts w:ascii="Calibri" w:hAnsi="Calibri" w:cs="Calibri"/>
                <w:color w:val="000000"/>
                <w:szCs w:val="22"/>
              </w:rPr>
            </w:pPr>
          </w:p>
        </w:tc>
        <w:tc>
          <w:tcPr>
            <w:tcW w:w="42" w:type="dxa"/>
            <w:tcBorders>
              <w:top w:val="nil"/>
              <w:left w:val="nil"/>
              <w:bottom w:val="nil"/>
              <w:right w:val="nil"/>
            </w:tcBorders>
            <w:shd w:val="clear" w:color="auto" w:fill="auto"/>
            <w:noWrap/>
            <w:vAlign w:val="bottom"/>
            <w:hideMark/>
          </w:tcPr>
          <w:p w:rsidR="008B07BA" w:rsidRDefault="008B07BA" w:rsidP="001A31FA">
            <w:pPr>
              <w:jc w:val="cente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sz w:val="20"/>
              </w:rPr>
            </w:pPr>
          </w:p>
        </w:tc>
        <w:tc>
          <w:tcPr>
            <w:tcW w:w="1252"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71" w:type="dxa"/>
            <w:tcBorders>
              <w:top w:val="nil"/>
              <w:left w:val="nil"/>
              <w:bottom w:val="nil"/>
              <w:right w:val="nil"/>
            </w:tcBorders>
            <w:shd w:val="clear" w:color="auto" w:fill="auto"/>
            <w:noWrap/>
            <w:vAlign w:val="center"/>
            <w:hideMark/>
          </w:tcPr>
          <w:p w:rsidR="008B07BA" w:rsidRDefault="008B07BA" w:rsidP="001A31FA">
            <w:pPr>
              <w:rPr>
                <w:sz w:val="20"/>
              </w:rPr>
            </w:pPr>
          </w:p>
        </w:tc>
        <w:tc>
          <w:tcPr>
            <w:tcW w:w="1292"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1155" w:type="dxa"/>
            <w:tcBorders>
              <w:top w:val="nil"/>
              <w:left w:val="nil"/>
              <w:bottom w:val="nil"/>
              <w:right w:val="nil"/>
            </w:tcBorders>
            <w:shd w:val="clear" w:color="auto" w:fill="auto"/>
            <w:vAlign w:val="center"/>
            <w:hideMark/>
          </w:tcPr>
          <w:p w:rsidR="008B07BA" w:rsidRDefault="008B07BA" w:rsidP="001A31FA">
            <w:pPr>
              <w:jc w:val="cente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jc w:val="center"/>
              <w:rPr>
                <w:sz w:val="20"/>
              </w:rPr>
            </w:pPr>
          </w:p>
        </w:tc>
      </w:tr>
      <w:tr w:rsidR="008B07BA" w:rsidTr="001A31FA">
        <w:tblPrEx>
          <w:tblCellMar>
            <w:left w:w="108" w:type="dxa"/>
            <w:right w:w="108" w:type="dxa"/>
          </w:tblCellMar>
        </w:tblPrEx>
        <w:trPr>
          <w:gridAfter w:val="4"/>
          <w:wAfter w:w="2410" w:type="dxa"/>
          <w:trHeight w:val="5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b/>
                <w:bCs/>
                <w:color w:val="000000"/>
                <w:szCs w:val="22"/>
              </w:rPr>
            </w:pPr>
            <w:r>
              <w:rPr>
                <w:rFonts w:ascii="Calibri" w:hAnsi="Calibri" w:cs="Calibri"/>
                <w:b/>
                <w:bCs/>
                <w:color w:val="000000"/>
                <w:szCs w:val="22"/>
              </w:rPr>
              <w:t>Total Expenses</w:t>
            </w:r>
          </w:p>
        </w:tc>
        <w:tc>
          <w:tcPr>
            <w:tcW w:w="1252"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       87.50 </w:t>
            </w:r>
          </w:p>
        </w:tc>
        <w:tc>
          <w:tcPr>
            <w:tcW w:w="1271"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$ 1,357.00 </w:t>
            </w:r>
          </w:p>
        </w:tc>
        <w:tc>
          <w:tcPr>
            <w:tcW w:w="1292"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     538.40 </w:t>
            </w:r>
          </w:p>
        </w:tc>
        <w:tc>
          <w:tcPr>
            <w:tcW w:w="1155" w:type="dxa"/>
            <w:tcBorders>
              <w:top w:val="single" w:sz="4" w:space="0" w:color="auto"/>
              <w:left w:val="nil"/>
              <w:bottom w:val="single" w:sz="8" w:space="0" w:color="auto"/>
              <w:right w:val="nil"/>
            </w:tcBorders>
            <w:shd w:val="clear" w:color="auto" w:fill="auto"/>
            <w:noWrap/>
            <w:vAlign w:val="center"/>
            <w:hideMark/>
          </w:tcPr>
          <w:p w:rsidR="008B07BA" w:rsidRDefault="008B07BA" w:rsidP="001A31FA">
            <w:pPr>
              <w:jc w:val="center"/>
              <w:rPr>
                <w:rFonts w:ascii="Calibri" w:hAnsi="Calibri" w:cs="Calibri"/>
                <w:b/>
                <w:bCs/>
                <w:color w:val="000000"/>
                <w:szCs w:val="22"/>
              </w:rPr>
            </w:pPr>
            <w:r>
              <w:rPr>
                <w:rFonts w:ascii="Calibri" w:hAnsi="Calibri" w:cs="Calibri"/>
                <w:b/>
                <w:bCs/>
                <w:color w:val="000000"/>
                <w:szCs w:val="22"/>
              </w:rPr>
              <w:t xml:space="preserve"> </w:t>
            </w:r>
            <w:r w:rsidR="00DD253B">
              <w:rPr>
                <w:rFonts w:ascii="Calibri" w:hAnsi="Calibri" w:cs="Calibri"/>
                <w:b/>
                <w:bCs/>
                <w:color w:val="000000"/>
                <w:szCs w:val="22"/>
              </w:rPr>
              <w:t>$ 835.00</w:t>
            </w:r>
            <w:r>
              <w:rPr>
                <w:rFonts w:ascii="Calibri" w:hAnsi="Calibri" w:cs="Calibri"/>
                <w:b/>
                <w:bCs/>
                <w:color w:val="000000"/>
                <w:szCs w:val="22"/>
              </w:rPr>
              <w:t xml:space="preserve"> </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b/>
                <w:bCs/>
                <w:color w:val="000000"/>
                <w:szCs w:val="22"/>
              </w:rPr>
            </w:pPr>
          </w:p>
        </w:tc>
      </w:tr>
      <w:tr w:rsidR="008B07BA" w:rsidTr="001A31FA">
        <w:tblPrEx>
          <w:tblCellMar>
            <w:left w:w="108" w:type="dxa"/>
            <w:right w:w="108" w:type="dxa"/>
          </w:tblCellMar>
        </w:tblPrEx>
        <w:trPr>
          <w:gridAfter w:val="4"/>
          <w:wAfter w:w="2410" w:type="dxa"/>
          <w:trHeight w:val="5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Net Income (Loss)</w:t>
            </w:r>
          </w:p>
        </w:tc>
        <w:tc>
          <w:tcPr>
            <w:tcW w:w="1252" w:type="dxa"/>
            <w:tcBorders>
              <w:top w:val="nil"/>
              <w:left w:val="nil"/>
              <w:bottom w:val="double" w:sz="6" w:space="0" w:color="auto"/>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641.00 </w:t>
            </w:r>
          </w:p>
        </w:tc>
        <w:tc>
          <w:tcPr>
            <w:tcW w:w="1271" w:type="dxa"/>
            <w:tcBorders>
              <w:top w:val="nil"/>
              <w:left w:val="nil"/>
              <w:bottom w:val="double" w:sz="6" w:space="0" w:color="auto"/>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(631.00)</w:t>
            </w:r>
          </w:p>
        </w:tc>
        <w:tc>
          <w:tcPr>
            <w:tcW w:w="1292" w:type="dxa"/>
            <w:tcBorders>
              <w:top w:val="nil"/>
              <w:left w:val="nil"/>
              <w:bottom w:val="double" w:sz="6" w:space="0" w:color="auto"/>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37.00 </w:t>
            </w:r>
          </w:p>
        </w:tc>
        <w:tc>
          <w:tcPr>
            <w:tcW w:w="1155" w:type="dxa"/>
            <w:tcBorders>
              <w:top w:val="nil"/>
              <w:left w:val="nil"/>
              <w:bottom w:val="double" w:sz="6" w:space="0" w:color="auto"/>
              <w:right w:val="nil"/>
            </w:tcBorders>
            <w:shd w:val="clear" w:color="auto" w:fill="auto"/>
            <w:noWrap/>
            <w:vAlign w:val="center"/>
            <w:hideMark/>
          </w:tcPr>
          <w:p w:rsidR="008B07BA" w:rsidRDefault="008B07BA" w:rsidP="001A31FA">
            <w:pPr>
              <w:jc w:val="center"/>
              <w:rPr>
                <w:rFonts w:ascii="Calibri" w:hAnsi="Calibri" w:cs="Calibri"/>
                <w:color w:val="000000"/>
                <w:szCs w:val="22"/>
              </w:rPr>
            </w:pPr>
            <w:r>
              <w:rPr>
                <w:rFonts w:ascii="Calibri" w:hAnsi="Calibri" w:cs="Calibri"/>
                <w:color w:val="000000"/>
                <w:szCs w:val="22"/>
              </w:rPr>
              <w:t xml:space="preserve"> $  (94.00)</w:t>
            </w:r>
          </w:p>
        </w:tc>
        <w:tc>
          <w:tcPr>
            <w:tcW w:w="42" w:type="dxa"/>
            <w:tcBorders>
              <w:top w:val="nil"/>
              <w:left w:val="nil"/>
              <w:bottom w:val="nil"/>
              <w:right w:val="nil"/>
            </w:tcBorders>
            <w:shd w:val="clear" w:color="auto" w:fill="auto"/>
            <w:noWrap/>
            <w:vAlign w:val="bottom"/>
            <w:hideMark/>
          </w:tcPr>
          <w:p w:rsidR="008B07BA" w:rsidRDefault="008B07BA" w:rsidP="001A31FA">
            <w:pPr>
              <w:jc w:val="center"/>
              <w:rPr>
                <w:rFonts w:ascii="Calibri" w:hAnsi="Calibri" w:cs="Calibri"/>
                <w:color w:val="000000"/>
                <w:szCs w:val="22"/>
              </w:rPr>
            </w:pPr>
          </w:p>
        </w:tc>
      </w:tr>
      <w:tr w:rsidR="008B07BA" w:rsidTr="001A31FA">
        <w:tblPrEx>
          <w:tblCellMar>
            <w:left w:w="108" w:type="dxa"/>
            <w:right w:w="108" w:type="dxa"/>
          </w:tblCellMar>
        </w:tblPrEx>
        <w:trPr>
          <w:gridAfter w:val="4"/>
          <w:wAfter w:w="2410" w:type="dxa"/>
          <w:trHeight w:val="300"/>
        </w:trPr>
        <w:tc>
          <w:tcPr>
            <w:tcW w:w="1729" w:type="dxa"/>
            <w:gridSpan w:val="2"/>
            <w:tcBorders>
              <w:top w:val="nil"/>
              <w:left w:val="nil"/>
              <w:bottom w:val="nil"/>
              <w:right w:val="nil"/>
            </w:tcBorders>
            <w:shd w:val="clear" w:color="auto" w:fill="auto"/>
            <w:noWrap/>
            <w:vAlign w:val="bottom"/>
            <w:hideMark/>
          </w:tcPr>
          <w:p w:rsidR="008B07BA" w:rsidRDefault="008B07BA" w:rsidP="001A31FA">
            <w:pPr>
              <w:rPr>
                <w:sz w:val="20"/>
              </w:rPr>
            </w:pPr>
          </w:p>
        </w:tc>
        <w:tc>
          <w:tcPr>
            <w:tcW w:w="1252"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71"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92"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155" w:type="dxa"/>
            <w:tcBorders>
              <w:top w:val="nil"/>
              <w:left w:val="nil"/>
              <w:bottom w:val="nil"/>
              <w:right w:val="nil"/>
            </w:tcBorders>
            <w:shd w:val="clear" w:color="auto" w:fill="auto"/>
            <w:noWrap/>
            <w:vAlign w:val="bottom"/>
            <w:hideMark/>
          </w:tcPr>
          <w:p w:rsidR="008B07BA" w:rsidRDefault="008B07BA" w:rsidP="001A31FA">
            <w:pP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t>cash on hand</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71"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292" w:type="dxa"/>
            <w:tcBorders>
              <w:top w:val="nil"/>
              <w:left w:val="nil"/>
              <w:bottom w:val="nil"/>
              <w:right w:val="nil"/>
            </w:tcBorders>
            <w:shd w:val="clear" w:color="auto" w:fill="auto"/>
            <w:noWrap/>
            <w:vAlign w:val="bottom"/>
            <w:hideMark/>
          </w:tcPr>
          <w:p w:rsidR="008B07BA" w:rsidRDefault="008B07BA" w:rsidP="001A31FA">
            <w:pPr>
              <w:rPr>
                <w:sz w:val="20"/>
              </w:rPr>
            </w:pPr>
          </w:p>
        </w:tc>
        <w:tc>
          <w:tcPr>
            <w:tcW w:w="1155" w:type="dxa"/>
            <w:tcBorders>
              <w:top w:val="nil"/>
              <w:left w:val="nil"/>
              <w:bottom w:val="nil"/>
              <w:right w:val="nil"/>
            </w:tcBorders>
            <w:shd w:val="clear" w:color="auto" w:fill="auto"/>
            <w:noWrap/>
            <w:vAlign w:val="bottom"/>
            <w:hideMark/>
          </w:tcPr>
          <w:p w:rsidR="008B07BA" w:rsidRDefault="008B07BA" w:rsidP="001A31FA">
            <w:pPr>
              <w:rPr>
                <w:sz w:val="20"/>
              </w:rPr>
            </w:pPr>
          </w:p>
        </w:tc>
        <w:tc>
          <w:tcPr>
            <w:tcW w:w="42" w:type="dxa"/>
            <w:tcBorders>
              <w:top w:val="nil"/>
              <w:left w:val="nil"/>
              <w:bottom w:val="nil"/>
              <w:right w:val="nil"/>
            </w:tcBorders>
            <w:shd w:val="clear" w:color="auto" w:fill="auto"/>
            <w:noWrap/>
            <w:vAlign w:val="bottom"/>
            <w:hideMark/>
          </w:tcPr>
          <w:p w:rsidR="008B07BA" w:rsidRDefault="008B07BA" w:rsidP="001A31FA">
            <w:pPr>
              <w:rPr>
                <w:sz w:val="20"/>
              </w:rPr>
            </w:pPr>
          </w:p>
        </w:tc>
      </w:tr>
      <w:tr w:rsidR="008B07BA" w:rsidTr="001A31FA">
        <w:tblPrEx>
          <w:tblCellMar>
            <w:left w:w="108" w:type="dxa"/>
            <w:right w:w="108" w:type="dxa"/>
          </w:tblCellMar>
        </w:tblPrEx>
        <w:trPr>
          <w:gridAfter w:val="4"/>
          <w:wAfter w:w="2410" w:type="dxa"/>
          <w:trHeight w:val="288"/>
        </w:trPr>
        <w:tc>
          <w:tcPr>
            <w:tcW w:w="1729" w:type="dxa"/>
            <w:gridSpan w:val="2"/>
            <w:tcBorders>
              <w:top w:val="nil"/>
              <w:left w:val="nil"/>
              <w:bottom w:val="nil"/>
              <w:right w:val="nil"/>
            </w:tcBorders>
            <w:shd w:val="clear" w:color="auto" w:fill="auto"/>
            <w:vAlign w:val="center"/>
            <w:hideMark/>
          </w:tcPr>
          <w:p w:rsidR="008B07BA" w:rsidRDefault="008B07BA" w:rsidP="001A31FA">
            <w:pPr>
              <w:rPr>
                <w:rFonts w:ascii="Calibri" w:hAnsi="Calibri" w:cs="Calibri"/>
                <w:color w:val="000000"/>
                <w:szCs w:val="22"/>
              </w:rPr>
            </w:pPr>
            <w:r>
              <w:rPr>
                <w:rFonts w:ascii="Calibri" w:hAnsi="Calibri" w:cs="Calibri"/>
                <w:color w:val="000000"/>
                <w:szCs w:val="22"/>
              </w:rPr>
              <w:lastRenderedPageBreak/>
              <w:t>at year end</w:t>
            </w:r>
          </w:p>
        </w:tc>
        <w:tc>
          <w:tcPr>
            <w:tcW w:w="125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r>
              <w:rPr>
                <w:rFonts w:ascii="Calibri" w:hAnsi="Calibri" w:cs="Calibri"/>
                <w:color w:val="000000"/>
                <w:szCs w:val="22"/>
              </w:rPr>
              <w:t xml:space="preserve"> $</w:t>
            </w:r>
            <w:r w:rsidR="00B07227">
              <w:rPr>
                <w:rFonts w:ascii="Calibri" w:hAnsi="Calibri" w:cs="Calibri"/>
                <w:color w:val="000000"/>
                <w:szCs w:val="22"/>
              </w:rPr>
              <w:t xml:space="preserve"> 7</w:t>
            </w:r>
            <w:r>
              <w:rPr>
                <w:rFonts w:ascii="Calibri" w:hAnsi="Calibri" w:cs="Calibri"/>
                <w:color w:val="000000"/>
                <w:szCs w:val="22"/>
              </w:rPr>
              <w:t xml:space="preserve">127.27 </w:t>
            </w:r>
          </w:p>
        </w:tc>
        <w:tc>
          <w:tcPr>
            <w:tcW w:w="1271"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1292"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r>
              <w:rPr>
                <w:rFonts w:ascii="Calibri" w:hAnsi="Calibri" w:cs="Calibri"/>
                <w:color w:val="000000"/>
                <w:szCs w:val="22"/>
              </w:rPr>
              <w:t xml:space="preserve"> $  7,054.97 </w:t>
            </w:r>
          </w:p>
        </w:tc>
        <w:tc>
          <w:tcPr>
            <w:tcW w:w="1155" w:type="dxa"/>
            <w:tcBorders>
              <w:top w:val="nil"/>
              <w:left w:val="nil"/>
              <w:bottom w:val="nil"/>
              <w:right w:val="nil"/>
            </w:tcBorders>
            <w:shd w:val="clear" w:color="auto" w:fill="auto"/>
            <w:noWrap/>
            <w:vAlign w:val="bottom"/>
            <w:hideMark/>
          </w:tcPr>
          <w:p w:rsidR="008B07BA" w:rsidRDefault="008B07BA" w:rsidP="001A31FA">
            <w:pPr>
              <w:rPr>
                <w:rFonts w:ascii="Calibri" w:hAnsi="Calibri" w:cs="Calibri"/>
                <w:color w:val="000000"/>
                <w:szCs w:val="22"/>
              </w:rPr>
            </w:pPr>
          </w:p>
        </w:tc>
        <w:tc>
          <w:tcPr>
            <w:tcW w:w="42" w:type="dxa"/>
            <w:tcBorders>
              <w:top w:val="nil"/>
              <w:left w:val="nil"/>
              <w:bottom w:val="nil"/>
              <w:right w:val="nil"/>
            </w:tcBorders>
            <w:shd w:val="clear" w:color="auto" w:fill="auto"/>
            <w:noWrap/>
            <w:vAlign w:val="bottom"/>
            <w:hideMark/>
          </w:tcPr>
          <w:p w:rsidR="008B07BA" w:rsidRDefault="008B07BA" w:rsidP="001A31FA">
            <w:pPr>
              <w:rPr>
                <w:sz w:val="20"/>
              </w:rPr>
            </w:pPr>
          </w:p>
        </w:tc>
      </w:tr>
      <w:tr w:rsidR="008B07BA" w:rsidRPr="00BE508C" w:rsidTr="001A31FA">
        <w:trPr>
          <w:gridBefore w:val="1"/>
          <w:wBefore w:w="270" w:type="dxa"/>
        </w:trPr>
        <w:tc>
          <w:tcPr>
            <w:tcW w:w="8875" w:type="dxa"/>
            <w:gridSpan w:val="9"/>
            <w:vAlign w:val="center"/>
          </w:tcPr>
          <w:p w:rsidR="008B07BA" w:rsidRPr="00D00CDB" w:rsidRDefault="008B07BA" w:rsidP="001A31FA">
            <w:pPr>
              <w:widowControl/>
              <w:overflowPunct/>
              <w:autoSpaceDE/>
              <w:autoSpaceDN/>
              <w:adjustRightInd/>
              <w:textAlignment w:val="auto"/>
              <w:rPr>
                <w:rFonts w:cs="Arial"/>
                <w:spacing w:val="3"/>
                <w:sz w:val="28"/>
                <w:szCs w:val="28"/>
              </w:rPr>
            </w:pPr>
          </w:p>
        </w:tc>
        <w:tc>
          <w:tcPr>
            <w:tcW w:w="0" w:type="auto"/>
            <w:vAlign w:val="center"/>
          </w:tcPr>
          <w:p w:rsidR="008B07BA" w:rsidRPr="00BE508C" w:rsidRDefault="008B07BA" w:rsidP="001A31FA">
            <w:pPr>
              <w:widowControl/>
              <w:overflowPunct/>
              <w:autoSpaceDE/>
              <w:autoSpaceDN/>
              <w:adjustRightInd/>
              <w:textAlignment w:val="auto"/>
              <w:rPr>
                <w:rFonts w:ascii="Helvetica" w:hAnsi="Helvetica"/>
                <w:color w:val="444444"/>
                <w:spacing w:val="3"/>
                <w:sz w:val="24"/>
                <w:szCs w:val="24"/>
              </w:rPr>
            </w:pPr>
          </w:p>
        </w:tc>
      </w:tr>
    </w:tbl>
    <w:p w:rsidR="00E678E1" w:rsidRPr="00F76B94" w:rsidRDefault="00E678E1" w:rsidP="00E678E1">
      <w:pPr>
        <w:shd w:val="clear" w:color="auto" w:fill="FFFFFF"/>
        <w:spacing w:after="360"/>
        <w:outlineLvl w:val="1"/>
        <w:rPr>
          <w:rFonts w:cs="Arial"/>
          <w:vanish/>
          <w:color w:val="000000"/>
          <w:sz w:val="44"/>
          <w:szCs w:val="44"/>
        </w:rPr>
      </w:pPr>
      <w:r w:rsidRPr="00F76B94">
        <w:rPr>
          <w:rFonts w:cs="Arial"/>
          <w:vanish/>
          <w:color w:val="000000"/>
          <w:sz w:val="44"/>
          <w:szCs w:val="44"/>
        </w:rPr>
        <w:t>Cookie Notice</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11" w:tgtFrame="_blank" w:history="1">
        <w:r w:rsidRPr="00F76B94">
          <w:rPr>
            <w:rFonts w:cs="Arial"/>
            <w:vanish/>
            <w:color w:val="246CB4"/>
            <w:sz w:val="44"/>
            <w:szCs w:val="44"/>
          </w:rPr>
          <w:t>Privacy Policy</w:t>
        </w:r>
      </w:hyperlink>
    </w:p>
    <w:p w:rsidR="00202ED9" w:rsidRDefault="00202ED9" w:rsidP="00202ED9">
      <w:pPr>
        <w:rPr>
          <w:rFonts w:cs="Arial"/>
          <w:color w:val="000000"/>
          <w:sz w:val="28"/>
          <w:szCs w:val="28"/>
        </w:rPr>
      </w:pPr>
    </w:p>
    <w:p w:rsidR="001C6377" w:rsidRDefault="001C6377" w:rsidP="00EA753D">
      <w:pPr>
        <w:rPr>
          <w:rFonts w:cs="Arial"/>
          <w:b/>
          <w:color w:val="31849B" w:themeColor="accent5" w:themeShade="BF"/>
          <w:sz w:val="40"/>
          <w:szCs w:val="40"/>
        </w:rPr>
      </w:pPr>
    </w:p>
    <w:p w:rsidR="001C6377" w:rsidRDefault="001C6377" w:rsidP="00EA753D">
      <w:pPr>
        <w:rPr>
          <w:rFonts w:cs="Arial"/>
          <w:b/>
          <w:color w:val="31849B" w:themeColor="accent5" w:themeShade="BF"/>
          <w:sz w:val="40"/>
          <w:szCs w:val="40"/>
        </w:rPr>
      </w:pPr>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Default="00EA753D" w:rsidP="00EA753D">
      <w:pPr>
        <w:rPr>
          <w:rFonts w:ascii="Times New Roman" w:hAnsi="Times New Roman"/>
          <w:sz w:val="24"/>
          <w:szCs w:val="24"/>
        </w:rPr>
      </w:pPr>
    </w:p>
    <w:p w:rsidR="00EA753D" w:rsidRPr="00CC7967" w:rsidRDefault="00EA753D" w:rsidP="00EA753D">
      <w:pPr>
        <w:rPr>
          <w:rFonts w:cs="Arial"/>
          <w:sz w:val="28"/>
          <w:szCs w:val="28"/>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EA753D" w:rsidRPr="005F531D" w:rsidRDefault="00EA753D" w:rsidP="00EA753D">
      <w:pPr>
        <w:rPr>
          <w:rFonts w:cs="Arial"/>
          <w:sz w:val="28"/>
          <w:szCs w:val="28"/>
        </w:rPr>
      </w:pPr>
    </w:p>
    <w:p w:rsidR="00EA753D" w:rsidRPr="005F531D" w:rsidRDefault="00EA753D" w:rsidP="00EA753D">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2"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8760F4" w:rsidRPr="00A531AC" w:rsidRDefault="008760F4" w:rsidP="00106299">
      <w:pPr>
        <w:rPr>
          <w:sz w:val="28"/>
          <w:szCs w:val="28"/>
        </w:rPr>
      </w:pPr>
    </w:p>
    <w:p w:rsidR="00331453" w:rsidRDefault="00331453"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B928B5" w:rsidRDefault="00B928B5" w:rsidP="00893EE3">
      <w:pPr>
        <w:jc w:val="both"/>
        <w:rPr>
          <w:rFonts w:cstheme="minorHAnsi"/>
          <w:b/>
          <w:color w:val="31849B" w:themeColor="accent5" w:themeShade="BF"/>
          <w:sz w:val="36"/>
          <w:szCs w:val="36"/>
        </w:rPr>
      </w:pPr>
    </w:p>
    <w:p w:rsidR="00B928B5" w:rsidRDefault="00B928B5"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61527B" w:rsidP="00893EE3">
      <w:pPr>
        <w:jc w:val="both"/>
        <w:rPr>
          <w:rFonts w:cstheme="minorHAnsi"/>
          <w:b/>
          <w:color w:val="31849B" w:themeColor="accent5" w:themeShade="BF"/>
          <w:sz w:val="36"/>
          <w:szCs w:val="36"/>
        </w:rPr>
      </w:pPr>
      <w:r>
        <w:rPr>
          <w:rFonts w:cs="Arial"/>
          <w:b/>
          <w:iCs/>
          <w:color w:val="31849B" w:themeColor="accent5" w:themeShade="BF"/>
          <w:sz w:val="40"/>
          <w:szCs w:val="40"/>
        </w:rPr>
        <w:t>I</w:t>
      </w:r>
      <w:r w:rsidRPr="005E3581">
        <w:rPr>
          <w:rFonts w:cs="Arial"/>
          <w:b/>
          <w:iCs/>
          <w:color w:val="31849B" w:themeColor="accent5" w:themeShade="BF"/>
          <w:sz w:val="40"/>
          <w:szCs w:val="40"/>
        </w:rPr>
        <w:t xml:space="preserve">nterest </w:t>
      </w:r>
      <w:r w:rsidRPr="005E3581">
        <w:rPr>
          <w:rFonts w:cs="Arial"/>
          <w:b/>
          <w:color w:val="31849B" w:themeColor="accent5" w:themeShade="BF"/>
          <w:sz w:val="40"/>
          <w:szCs w:val="40"/>
        </w:rPr>
        <w:t>Groups:</w:t>
      </w:r>
    </w:p>
    <w:p w:rsidR="00026724" w:rsidRDefault="00FE70C1" w:rsidP="00893EE3">
      <w:pPr>
        <w:jc w:val="both"/>
        <w:rPr>
          <w:rFonts w:cstheme="minorHAnsi"/>
          <w:b/>
          <w:color w:val="31849B" w:themeColor="accent5" w:themeShade="BF"/>
          <w:sz w:val="36"/>
          <w:szCs w:val="36"/>
        </w:rPr>
      </w:pPr>
      <w:r w:rsidRPr="00FE70C1">
        <w:rPr>
          <w:rFonts w:cs="Arial"/>
          <w:b/>
          <w:i/>
          <w:noProof/>
          <w:color w:val="000000" w:themeColor="text1"/>
          <w:sz w:val="36"/>
          <w:szCs w:val="36"/>
          <w:u w:val="single"/>
        </w:rPr>
        <w:lastRenderedPageBreak/>
        <w:pict>
          <v:shapetype id="_x0000_t202" coordsize="21600,21600" o:spt="202" path="m,l,21600r21600,l21600,xe">
            <v:stroke joinstyle="miter"/>
            <v:path gradientshapeok="t" o:connecttype="rect"/>
          </v:shapetype>
          <v:shape id="Text Box 2" o:spid="_x0000_s2053" type="#_x0000_t202" style="position:absolute;left:0;text-align:left;margin-left:90.6pt;margin-top:41.05pt;width:366pt;height:159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" o:allowincell="f" filled="f" strokecolor="#622423" strokeweight="6pt">
            <v:stroke linestyle="thickThin"/>
            <v:textbox inset="10.8pt,7.2pt,10.8pt,7.2pt">
              <w:txbxContent>
                <w:p w:rsidR="00AA04CD" w:rsidRPr="00B4128C" w:rsidRDefault="00AA04CD" w:rsidP="00AA04CD">
                  <w:pPr>
                    <w:pStyle w:val="PlainText"/>
                    <w:rPr>
                      <w:rFonts w:ascii="Arial" w:hAnsi="Arial" w:cs="Arial"/>
                      <w:b/>
                      <w:iCs/>
                      <w:sz w:val="28"/>
                      <w:szCs w:val="28"/>
                    </w:rPr>
                  </w:pPr>
                  <w:r w:rsidRPr="00B4128C">
                    <w:rPr>
                      <w:rFonts w:ascii="Arial" w:hAnsi="Arial" w:cs="Arial"/>
                      <w:b/>
                      <w:iCs/>
                      <w:sz w:val="28"/>
                      <w:szCs w:val="28"/>
                    </w:rPr>
                    <w:t xml:space="preserve">Literature Group </w:t>
                  </w:r>
                </w:p>
                <w:p w:rsidR="00AA04CD" w:rsidRPr="00B4128C" w:rsidRDefault="00AA04CD" w:rsidP="00AA04CD">
                  <w:pPr>
                    <w:pStyle w:val="PlainText"/>
                    <w:rPr>
                      <w:rFonts w:ascii="Arial" w:hAnsi="Arial" w:cs="Arial"/>
                      <w:b/>
                      <w:i/>
                      <w:sz w:val="28"/>
                      <w:szCs w:val="28"/>
                    </w:rPr>
                  </w:pPr>
                </w:p>
                <w:p w:rsidR="00AA04CD" w:rsidRPr="00B4128C" w:rsidRDefault="00AA04CD" w:rsidP="00AA04CD">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3" w:history="1">
                    <w:r w:rsidRPr="00B4128C">
                      <w:rPr>
                        <w:rStyle w:val="Hyperlink"/>
                        <w:rFonts w:ascii="Arial" w:eastAsia="Times New Roman" w:hAnsi="Arial" w:cs="Arial"/>
                        <w:sz w:val="28"/>
                        <w:szCs w:val="28"/>
                      </w:rPr>
                      <w:t>margaretfschweitzer@gmail.com</w:t>
                    </w:r>
                  </w:hyperlink>
                </w:p>
                <w:p w:rsidR="00AA04CD" w:rsidRPr="001730F1" w:rsidRDefault="00AA04CD" w:rsidP="00AA04CD">
                  <w:pPr>
                    <w:rPr>
                      <w:rFonts w:cs="Arial"/>
                      <w:sz w:val="28"/>
                      <w:szCs w:val="28"/>
                      <w:shd w:val="clear" w:color="auto" w:fill="FFFFFF"/>
                    </w:rPr>
                  </w:pPr>
                </w:p>
                <w:p w:rsidR="00AA04CD" w:rsidRPr="00B4128C" w:rsidRDefault="00AA04CD" w:rsidP="00D66B46">
                  <w:pPr>
                    <w:rPr>
                      <w:sz w:val="24"/>
                      <w:szCs w:val="24"/>
                    </w:rPr>
                  </w:pPr>
                  <w:r w:rsidRPr="00B4128C">
                    <w:rPr>
                      <w:sz w:val="24"/>
                      <w:szCs w:val="24"/>
                    </w:rPr>
                    <w:t xml:space="preserve">The Literature Group will meet </w:t>
                  </w:r>
                  <w:r w:rsidR="00D66B46">
                    <w:rPr>
                      <w:sz w:val="24"/>
                      <w:szCs w:val="24"/>
                    </w:rPr>
                    <w:t>on September</w:t>
                  </w:r>
                  <w:r w:rsidR="0039225A">
                    <w:rPr>
                      <w:sz w:val="24"/>
                      <w:szCs w:val="24"/>
                    </w:rPr>
                    <w:t xml:space="preserve"> 20</w:t>
                  </w:r>
                  <w:r w:rsidR="00D66B46">
                    <w:rPr>
                      <w:sz w:val="24"/>
                      <w:szCs w:val="24"/>
                    </w:rPr>
                    <w:t xml:space="preserve"> to discuss </w:t>
                  </w:r>
                  <w:r w:rsidR="0061527B" w:rsidRPr="0061527B">
                    <w:rPr>
                      <w:b/>
                      <w:bCs/>
                      <w:i/>
                      <w:iCs/>
                    </w:rPr>
                    <w:t>The Lincoln Highway</w:t>
                  </w:r>
                  <w:r w:rsidR="0061527B">
                    <w:t xml:space="preserve"> by Amor Towles.</w:t>
                  </w:r>
                </w:p>
                <w:p w:rsidR="00AA04CD" w:rsidRPr="00B4128C" w:rsidRDefault="00AA04CD" w:rsidP="00AA04CD">
                  <w:pPr>
                    <w:rPr>
                      <w:rFonts w:cs="Arial"/>
                      <w:sz w:val="24"/>
                      <w:szCs w:val="24"/>
                    </w:rPr>
                  </w:pPr>
                </w:p>
                <w:p w:rsidR="00AA04CD" w:rsidRPr="0061527B" w:rsidRDefault="0061527B" w:rsidP="00AA04CD">
                  <w:pPr>
                    <w:rPr>
                      <w:rFonts w:ascii="Calibri" w:hAnsi="Calibri"/>
                      <w:b/>
                      <w:bCs/>
                      <w:i/>
                      <w:iCs/>
                      <w:sz w:val="28"/>
                      <w:szCs w:val="28"/>
                    </w:rPr>
                  </w:pPr>
                  <w:r w:rsidRPr="0061527B">
                    <w:rPr>
                      <w:rFonts w:ascii="Calibri" w:hAnsi="Calibri"/>
                      <w:b/>
                      <w:bCs/>
                      <w:i/>
                      <w:iCs/>
                      <w:sz w:val="28"/>
                      <w:szCs w:val="28"/>
                    </w:rPr>
                    <w:t xml:space="preserve">Editor’s note:  This is all the information I have at this time. </w:t>
                  </w:r>
                </w:p>
                <w:p w:rsidR="00AA04CD" w:rsidRPr="002205BC" w:rsidRDefault="00AA04CD" w:rsidP="00AA04CD">
                  <w:pPr>
                    <w:pStyle w:val="PlainText"/>
                    <w:rPr>
                      <w:rFonts w:ascii="Arial" w:hAnsi="Arial" w:cs="Arial"/>
                      <w:sz w:val="28"/>
                      <w:szCs w:val="28"/>
                    </w:rPr>
                  </w:pPr>
                </w:p>
              </w:txbxContent>
            </v:textbox>
            <w10:wrap type="square" anchorx="margin" anchory="margin"/>
          </v:shape>
        </w:pict>
      </w:r>
    </w:p>
    <w:p w:rsidR="00AA04CD" w:rsidRPr="005E3581" w:rsidRDefault="00AA04CD" w:rsidP="00AA04CD">
      <w:pPr>
        <w:pStyle w:val="NormalWeb"/>
        <w:rPr>
          <w:rFonts w:ascii="Arial" w:hAnsi="Arial" w:cs="Arial"/>
          <w:b/>
          <w:color w:val="31849B" w:themeColor="accent5" w:themeShade="BF"/>
          <w:sz w:val="40"/>
          <w:szCs w:val="40"/>
        </w:rPr>
      </w:pPr>
      <w:r w:rsidRPr="005E3581">
        <w:rPr>
          <w:rFonts w:ascii="Arial" w:hAnsi="Arial" w:cs="Arial"/>
          <w:b/>
          <w:color w:val="31849B" w:themeColor="accent5" w:themeShade="BF"/>
          <w:sz w:val="40"/>
          <w:szCs w:val="40"/>
        </w:rPr>
        <w:t xml:space="preserve"> </w:t>
      </w: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331453" w:rsidRPr="005E3581" w:rsidRDefault="00331453" w:rsidP="00331453">
      <w:pPr>
        <w:pStyle w:val="NormalWeb"/>
        <w:rPr>
          <w:rFonts w:ascii="Arial" w:hAnsi="Arial" w:cs="Arial"/>
          <w:b/>
          <w:color w:val="31849B" w:themeColor="accent5" w:themeShade="BF"/>
          <w:sz w:val="40"/>
          <w:szCs w:val="40"/>
        </w:rPr>
      </w:pPr>
      <w:r w:rsidRPr="005E3581">
        <w:rPr>
          <w:rFonts w:ascii="Arial" w:hAnsi="Arial" w:cs="Arial"/>
          <w:b/>
          <w:color w:val="31849B" w:themeColor="accent5" w:themeShade="BF"/>
          <w:sz w:val="40"/>
          <w:szCs w:val="40"/>
        </w:rPr>
        <w:t xml:space="preserve"> </w:t>
      </w:r>
    </w:p>
    <w:p w:rsidR="00331453" w:rsidRDefault="00331453" w:rsidP="00893EE3">
      <w:pPr>
        <w:jc w:val="both"/>
        <w:rPr>
          <w:rFonts w:cstheme="minorHAnsi"/>
          <w:b/>
          <w:color w:val="31849B" w:themeColor="accent5" w:themeShade="BF"/>
          <w:sz w:val="36"/>
          <w:szCs w:val="36"/>
        </w:rPr>
      </w:pPr>
    </w:p>
    <w:p w:rsidR="00893EE3" w:rsidRDefault="00893EE3" w:rsidP="00893EE3">
      <w:pPr>
        <w:rPr>
          <w:rFonts w:cs="Arial"/>
          <w:sz w:val="28"/>
          <w:szCs w:val="28"/>
          <w:shd w:val="clear" w:color="auto" w:fill="FFFFFF"/>
        </w:rPr>
      </w:pPr>
    </w:p>
    <w:p w:rsidR="00893EE3" w:rsidRPr="00B22FF4" w:rsidRDefault="00FE70C1" w:rsidP="00893EE3">
      <w:pPr>
        <w:jc w:val="both"/>
        <w:rPr>
          <w:rFonts w:cs="Arial"/>
          <w:bCs/>
          <w:sz w:val="28"/>
          <w:szCs w:val="28"/>
        </w:rPr>
      </w:pPr>
      <w:r w:rsidRPr="00FE70C1">
        <w:rPr>
          <w:rFonts w:cs="Arial"/>
          <w:b/>
          <w:i/>
          <w:noProof/>
          <w:color w:val="31849B" w:themeColor="accent5" w:themeShade="BF"/>
          <w:sz w:val="40"/>
          <w:szCs w:val="40"/>
          <w:u w:val="single"/>
        </w:rPr>
        <w:pict>
          <v:shape id="_x0000_s2052" type="#_x0000_t202" style="position:absolute;left:0;text-align:left;margin-left:-36.6pt;margin-top:273.2pt;width:294.6pt;height:280.8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FE70C1" w:rsidP="00E627DF">
                  <w:pPr>
                    <w:rPr>
                      <w:rStyle w:val="Hyperlink"/>
                      <w:rFonts w:cs="Arial"/>
                      <w:sz w:val="28"/>
                      <w:szCs w:val="28"/>
                    </w:rPr>
                  </w:pPr>
                  <w:hyperlink r:id="rId14"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FE70C1" w:rsidP="00E627DF">
                  <w:pPr>
                    <w:rPr>
                      <w:sz w:val="28"/>
                      <w:szCs w:val="28"/>
                    </w:rPr>
                  </w:pPr>
                  <w:hyperlink r:id="rId15"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B928B5" w:rsidRDefault="00B928B5" w:rsidP="00B928B5">
                  <w:pPr>
                    <w:pStyle w:val="xmsonormal"/>
                  </w:pPr>
                  <w:r>
                    <w:rPr>
                      <w:rFonts w:ascii="Arial" w:hAnsi="Arial" w:cs="Arial"/>
                      <w:sz w:val="24"/>
                      <w:szCs w:val="24"/>
                    </w:rPr>
                    <w:t xml:space="preserve">The September Meeting will be held on Zoom </w:t>
                  </w:r>
                  <w:r>
                    <w:rPr>
                      <w:rFonts w:ascii="Arial" w:hAnsi="Arial" w:cs="Arial"/>
                      <w:b/>
                      <w:bCs/>
                      <w:sz w:val="24"/>
                      <w:szCs w:val="24"/>
                    </w:rPr>
                    <w:t xml:space="preserve">Friday, September 17, </w:t>
                  </w:r>
                  <w:r w:rsidR="00DD253B">
                    <w:rPr>
                      <w:rFonts w:ascii="Arial" w:hAnsi="Arial" w:cs="Arial"/>
                      <w:b/>
                      <w:bCs/>
                      <w:sz w:val="24"/>
                      <w:szCs w:val="24"/>
                    </w:rPr>
                    <w:t>2022,</w:t>
                  </w:r>
                  <w:r>
                    <w:rPr>
                      <w:rFonts w:ascii="Arial" w:hAnsi="Arial" w:cs="Arial"/>
                      <w:b/>
                      <w:bCs/>
                      <w:sz w:val="24"/>
                      <w:szCs w:val="24"/>
                    </w:rPr>
                    <w:t xml:space="preserve"> at 2:00 pm.</w:t>
                  </w:r>
                </w:p>
                <w:p w:rsidR="00B928B5" w:rsidRDefault="00B928B5" w:rsidP="00B928B5">
                  <w:pPr>
                    <w:pStyle w:val="xmsonormal"/>
                  </w:pPr>
                  <w:r>
                    <w:rPr>
                      <w:rFonts w:ascii="Arial" w:hAnsi="Arial" w:cs="Arial"/>
                      <w:sz w:val="24"/>
                      <w:szCs w:val="24"/>
                    </w:rPr>
                    <w:t xml:space="preserve">We will be discussing </w:t>
                  </w:r>
                  <w:r>
                    <w:rPr>
                      <w:rFonts w:ascii="Arial" w:hAnsi="Arial" w:cs="Arial"/>
                      <w:b/>
                      <w:bCs/>
                      <w:sz w:val="24"/>
                      <w:szCs w:val="24"/>
                    </w:rPr>
                    <w:t>Chapter 6,</w:t>
                  </w:r>
                  <w:r>
                    <w:rPr>
                      <w:rFonts w:ascii="Arial" w:hAnsi="Arial" w:cs="Arial"/>
                      <w:sz w:val="24"/>
                      <w:szCs w:val="24"/>
                    </w:rPr>
                    <w:t xml:space="preserve"> </w:t>
                  </w:r>
                  <w:r>
                    <w:rPr>
                      <w:rFonts w:ascii="Arial" w:hAnsi="Arial" w:cs="Arial"/>
                      <w:b/>
                      <w:bCs/>
                      <w:i/>
                      <w:iCs/>
                      <w:sz w:val="24"/>
                      <w:szCs w:val="24"/>
                    </w:rPr>
                    <w:t xml:space="preserve">No End in Sight: a century of drug wars </w:t>
                  </w:r>
                </w:p>
                <w:p w:rsidR="00A411DE" w:rsidRDefault="00A411DE" w:rsidP="00A411DE">
                  <w:pPr>
                    <w:rPr>
                      <w:rFonts w:cs="Arial"/>
                      <w:b/>
                      <w:bCs/>
                      <w:sz w:val="24"/>
                      <w:szCs w:val="24"/>
                    </w:rPr>
                  </w:pPr>
                </w:p>
                <w:p w:rsidR="00A411DE" w:rsidRDefault="00A411DE" w:rsidP="00A411DE">
                  <w:pPr>
                    <w:rPr>
                      <w:rFonts w:cs="Arial"/>
                      <w:sz w:val="24"/>
                      <w:szCs w:val="24"/>
                    </w:rPr>
                  </w:pPr>
                  <w:r>
                    <w:rPr>
                      <w:rFonts w:cs="Arial"/>
                      <w:sz w:val="24"/>
                      <w:szCs w:val="24"/>
                    </w:rPr>
                    <w:t>Zoom URL will be sent prior to the meeting for both the meeting and the video viewing</w:t>
                  </w:r>
                </w:p>
                <w:p w:rsidR="00A411DE" w:rsidRDefault="00A411DE" w:rsidP="0060380D">
                  <w:pPr>
                    <w:rPr>
                      <w:rFonts w:cs="Arial"/>
                      <w:sz w:val="24"/>
                      <w:szCs w:val="24"/>
                    </w:rPr>
                  </w:pPr>
                  <w:r>
                    <w:rPr>
                      <w:rFonts w:cs="Arial"/>
                      <w:sz w:val="24"/>
                      <w:szCs w:val="24"/>
                    </w:rPr>
                    <w:t>For Information contact: Anita or Bobbe</w:t>
                  </w:r>
                </w:p>
                <w:p w:rsidR="0060380D" w:rsidRDefault="00A411DE" w:rsidP="0060380D">
                  <w:pPr>
                    <w:rPr>
                      <w:rFonts w:cs="Arial"/>
                      <w:sz w:val="24"/>
                      <w:szCs w:val="24"/>
                    </w:rPr>
                  </w:pPr>
                  <w:r>
                    <w:rPr>
                      <w:rFonts w:cs="Arial"/>
                      <w:sz w:val="24"/>
                      <w:szCs w:val="24"/>
                    </w:rPr>
                    <w:t>T</w:t>
                  </w:r>
                  <w:r w:rsidR="0060380D">
                    <w:rPr>
                      <w:rFonts w:cs="Arial"/>
                      <w:sz w:val="24"/>
                      <w:szCs w:val="24"/>
                    </w:rPr>
                    <w:t xml:space="preserve">hey will send URLs prior to the discussion and viewing opportunities for the video.  </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2205BC" w:rsidRDefault="00E627DF" w:rsidP="00E627DF">
                  <w:pPr>
                    <w:pStyle w:val="PlainText"/>
                    <w:rPr>
                      <w:rFonts w:ascii="Arial" w:hAnsi="Arial" w:cs="Arial"/>
                      <w:sz w:val="28"/>
                      <w:szCs w:val="28"/>
                    </w:rPr>
                  </w:pPr>
                </w:p>
              </w:txbxContent>
            </v:textbox>
            <w10:wrap type="square" anchorx="margin" anchory="margin"/>
          </v:shape>
        </w:pict>
      </w:r>
      <w:r w:rsidR="00893EE3" w:rsidRPr="00D85F5C">
        <w:rPr>
          <w:rFonts w:cs="Arial"/>
          <w:color w:val="202020"/>
          <w:sz w:val="28"/>
          <w:szCs w:val="28"/>
        </w:rPr>
        <w:br/>
      </w:r>
    </w:p>
    <w:p w:rsidR="00893EE3" w:rsidRDefault="00893EE3" w:rsidP="00893EE3">
      <w:pPr>
        <w:pStyle w:val="three-up-icons-item-text"/>
        <w:spacing w:before="225" w:beforeAutospacing="0" w:after="0" w:afterAutospacing="0"/>
        <w:rPr>
          <w:rFonts w:ascii="Arial" w:hAnsi="Arial" w:cs="Arial"/>
          <w:sz w:val="28"/>
          <w:szCs w:val="28"/>
        </w:rPr>
      </w:pPr>
    </w:p>
    <w:p w:rsidR="00D548C0" w:rsidRDefault="00D548C0" w:rsidP="00106299">
      <w:pPr>
        <w:rPr>
          <w:sz w:val="28"/>
          <w:szCs w:val="28"/>
        </w:rPr>
      </w:pPr>
    </w:p>
    <w:bookmarkEnd w:id="0"/>
    <w:bookmarkEnd w:id="1"/>
    <w:p w:rsidR="00A411DE" w:rsidRDefault="00FE70C1" w:rsidP="008817BF">
      <w:pPr>
        <w:jc w:val="both"/>
        <w:rPr>
          <w:rFonts w:cs="Arial"/>
          <w:sz w:val="28"/>
          <w:szCs w:val="28"/>
          <w:shd w:val="clear" w:color="auto" w:fill="FFFFFF"/>
        </w:rPr>
      </w:pPr>
      <w:r w:rsidRPr="00FE70C1">
        <w:rPr>
          <w:rFonts w:cs="Arial"/>
          <w:b/>
          <w:i/>
          <w:noProof/>
          <w:color w:val="000000" w:themeColor="text1"/>
          <w:sz w:val="36"/>
          <w:szCs w:val="36"/>
          <w:u w:val="single"/>
        </w:rPr>
        <w:pict>
          <v:shape id="_x0000_s2051" type="#_x0000_t202" style="position:absolute;left:0;text-align:left;margin-left:296.4pt;margin-top:344.5pt;width:201pt;height:149.4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" o:allowincell="f" filled="f" strokecolor="#622423" strokeweight="6pt">
            <v:stroke linestyle="thickThin"/>
            <v:textbox inset="10.8pt,7.2pt,10.8pt,7.2pt">
              <w:txbxContent>
                <w:p w:rsidR="002A22E2" w:rsidRPr="00B87B2E" w:rsidRDefault="00ED2566" w:rsidP="00EA62F5">
                  <w:pPr>
                    <w:spacing w:after="240"/>
                    <w:rPr>
                      <w:rFonts w:cs="Arial"/>
                      <w:b/>
                      <w:bCs/>
                      <w:sz w:val="24"/>
                      <w:szCs w:val="24"/>
                    </w:rPr>
                  </w:pPr>
                  <w:r w:rsidRPr="00B87B2E">
                    <w:rPr>
                      <w:rFonts w:cs="Arial"/>
                      <w:b/>
                      <w:bCs/>
                      <w:sz w:val="24"/>
                      <w:szCs w:val="24"/>
                    </w:rPr>
                    <w:t xml:space="preserve">Le </w:t>
                  </w:r>
                  <w:proofErr w:type="spellStart"/>
                  <w:r w:rsidRPr="00B87B2E">
                    <w:rPr>
                      <w:rFonts w:cs="Arial"/>
                      <w:b/>
                      <w:bCs/>
                      <w:sz w:val="24"/>
                      <w:szCs w:val="24"/>
                    </w:rPr>
                    <w:t>Groupe</w:t>
                  </w:r>
                  <w:proofErr w:type="spellEnd"/>
                  <w:r w:rsidRPr="00B87B2E">
                    <w:rPr>
                      <w:rFonts w:cs="Arial"/>
                      <w:b/>
                      <w:bCs/>
                      <w:sz w:val="24"/>
                      <w:szCs w:val="24"/>
                    </w:rPr>
                    <w:t xml:space="preserve"> </w:t>
                  </w:r>
                  <w:proofErr w:type="spellStart"/>
                  <w:r w:rsidR="00D502A7">
                    <w:rPr>
                      <w:rFonts w:cs="Arial"/>
                      <w:b/>
                      <w:bCs/>
                      <w:sz w:val="24"/>
                      <w:szCs w:val="24"/>
                    </w:rPr>
                    <w:t>Francaise</w:t>
                  </w:r>
                  <w:proofErr w:type="spellEnd"/>
                </w:p>
                <w:p w:rsidR="001F0A60" w:rsidRPr="00026724" w:rsidRDefault="00ED2566" w:rsidP="00EA62F5">
                  <w:pPr>
                    <w:spacing w:after="240"/>
                    <w:rPr>
                      <w:rFonts w:cs="Arial"/>
                      <w:b/>
                      <w:bCs/>
                      <w:sz w:val="28"/>
                      <w:szCs w:val="28"/>
                      <w:u w:val="single"/>
                    </w:rPr>
                  </w:pPr>
                  <w:r w:rsidRPr="00EE55E8">
                    <w:rPr>
                      <w:rFonts w:cs="Arial"/>
                      <w:sz w:val="28"/>
                      <w:szCs w:val="28"/>
                    </w:rPr>
                    <w:t xml:space="preserve">Ruth Spivack </w:t>
                  </w:r>
                  <w:r w:rsidRPr="00026724">
                    <w:rPr>
                      <w:rFonts w:cs="Arial"/>
                      <w:b/>
                      <w:bCs/>
                      <w:color w:val="215868" w:themeColor="accent5" w:themeShade="80"/>
                      <w:sz w:val="28"/>
                      <w:szCs w:val="28"/>
                      <w:u w:val="single"/>
                    </w:rPr>
                    <w:t>raspivack@gmail.com</w:t>
                  </w:r>
                </w:p>
                <w:p w:rsidR="001D3BE5" w:rsidRPr="008D1347" w:rsidRDefault="001D3BE5" w:rsidP="001D3BE5">
                  <w:pPr>
                    <w:rPr>
                      <w:sz w:val="24"/>
                      <w:szCs w:val="24"/>
                    </w:rPr>
                  </w:pPr>
                  <w:r w:rsidRPr="008D1347">
                    <w:rPr>
                      <w:sz w:val="24"/>
                      <w:szCs w:val="24"/>
                    </w:rPr>
                    <w:t>Next meeting is Sept. </w:t>
                  </w:r>
                  <w:r w:rsidR="00D502A7">
                    <w:rPr>
                      <w:sz w:val="24"/>
                      <w:szCs w:val="24"/>
                    </w:rPr>
                    <w:t>19</w:t>
                  </w:r>
                  <w:r w:rsidRPr="008D1347">
                    <w:rPr>
                      <w:sz w:val="24"/>
                      <w:szCs w:val="24"/>
                    </w:rPr>
                    <w:t xml:space="preserve"> at 5:30 p.m. via ZOOM</w:t>
                  </w:r>
                </w:p>
                <w:p w:rsidR="001D3BE5" w:rsidRPr="008D1347" w:rsidRDefault="001D3BE5" w:rsidP="001D3BE5">
                  <w:pPr>
                    <w:rPr>
                      <w:sz w:val="24"/>
                      <w:szCs w:val="24"/>
                    </w:rPr>
                  </w:pPr>
                  <w:r w:rsidRPr="008D1347">
                    <w:rPr>
                      <w:sz w:val="24"/>
                      <w:szCs w:val="24"/>
                    </w:rPr>
                    <w:t>Contact Ruth Spivack for ZOOM link</w:t>
                  </w:r>
                </w:p>
                <w:p w:rsidR="00C05797" w:rsidRPr="00026724" w:rsidRDefault="00C05797" w:rsidP="00DC4FF6">
                  <w:pPr>
                    <w:rPr>
                      <w:b/>
                      <w:bCs/>
                      <w:sz w:val="28"/>
                      <w:szCs w:val="28"/>
                    </w:rPr>
                  </w:pPr>
                </w:p>
                <w:p w:rsidR="00880CBF" w:rsidRPr="00026724" w:rsidRDefault="00880CBF" w:rsidP="00880CBF">
                  <w:pPr>
                    <w:rPr>
                      <w:b/>
                      <w:bCs/>
                      <w:sz w:val="24"/>
                      <w:szCs w:val="24"/>
                    </w:rPr>
                  </w:pPr>
                  <w:r w:rsidRPr="00026724">
                    <w:rPr>
                      <w:b/>
                      <w:bCs/>
                      <w:sz w:val="24"/>
                      <w:szCs w:val="24"/>
                    </w:rPr>
                    <w:t>.  </w:t>
                  </w:r>
                </w:p>
                <w:p w:rsidR="00ED2566" w:rsidRPr="00026724" w:rsidRDefault="00ED2566" w:rsidP="00F204E0">
                  <w:pPr>
                    <w:rPr>
                      <w:b/>
                      <w:bCs/>
                      <w:sz w:val="24"/>
                      <w:szCs w:val="24"/>
                    </w:rPr>
                  </w:pPr>
                </w:p>
                <w:p w:rsidR="00ED2566" w:rsidRPr="00C05797" w:rsidRDefault="00ED2566" w:rsidP="003A46EE">
                  <w:pPr>
                    <w:spacing w:after="240"/>
                    <w:rPr>
                      <w:rFonts w:cs="Arial"/>
                      <w:color w:val="000000"/>
                      <w:sz w:val="24"/>
                      <w:szCs w:val="24"/>
                    </w:rPr>
                  </w:pPr>
                  <w:r w:rsidRPr="00C05797">
                    <w:rPr>
                      <w:rFonts w:cs="Arial"/>
                      <w:sz w:val="24"/>
                      <w:szCs w:val="24"/>
                    </w:rPr>
                    <w:t> </w:t>
                  </w:r>
                </w:p>
                <w:p w:rsidR="00ED2566" w:rsidRDefault="00ED2566" w:rsidP="00D523DA">
                  <w:pPr>
                    <w:rPr>
                      <w:rFonts w:cs="Arial"/>
                      <w:color w:val="000000"/>
                      <w:szCs w:val="22"/>
                    </w:rPr>
                  </w:pPr>
                </w:p>
                <w:p w:rsidR="00ED2566" w:rsidRPr="0080664B" w:rsidRDefault="00ED2566" w:rsidP="002B335E">
                  <w:pPr>
                    <w:pStyle w:val="PlainText"/>
                    <w:rPr>
                      <w:rFonts w:ascii="Arial" w:hAnsi="Arial" w:cs="Arial"/>
                      <w:color w:val="FF0000"/>
                      <w:sz w:val="20"/>
                      <w:szCs w:val="20"/>
                    </w:rPr>
                  </w:pPr>
                </w:p>
                <w:p w:rsidR="00ED2566" w:rsidRPr="00CE1812" w:rsidRDefault="00ED2566" w:rsidP="002B335E">
                  <w:pPr>
                    <w:rPr>
                      <w:rFonts w:cs="Arial"/>
                      <w:sz w:val="28"/>
                      <w:szCs w:val="28"/>
                    </w:rPr>
                  </w:pPr>
                </w:p>
                <w:p w:rsidR="00ED2566" w:rsidRPr="002205BC" w:rsidRDefault="00ED2566" w:rsidP="002B335E">
                  <w:pPr>
                    <w:rPr>
                      <w:rFonts w:ascii="Calibri" w:hAnsi="Calibri"/>
                      <w:sz w:val="28"/>
                      <w:szCs w:val="28"/>
                    </w:rPr>
                  </w:pPr>
                </w:p>
                <w:p w:rsidR="00ED2566" w:rsidRPr="002205BC" w:rsidRDefault="00ED2566" w:rsidP="002B335E">
                  <w:pPr>
                    <w:pStyle w:val="PlainText"/>
                    <w:rPr>
                      <w:rFonts w:ascii="Arial" w:hAnsi="Arial" w:cs="Arial"/>
                      <w:sz w:val="28"/>
                      <w:szCs w:val="28"/>
                    </w:rPr>
                  </w:pPr>
                </w:p>
              </w:txbxContent>
            </v:textbox>
            <w10:wrap type="square" anchorx="margin" anchory="margin"/>
          </v:shape>
        </w:pict>
      </w:r>
    </w:p>
    <w:p w:rsidR="00A411DE" w:rsidRDefault="00A411DE" w:rsidP="008817BF">
      <w:pPr>
        <w:jc w:val="both"/>
        <w:rPr>
          <w:rFonts w:cs="Arial"/>
          <w:sz w:val="28"/>
          <w:szCs w:val="28"/>
          <w:shd w:val="clear" w:color="auto" w:fill="FFFFFF"/>
        </w:rPr>
      </w:pPr>
    </w:p>
    <w:p w:rsidR="00A411DE" w:rsidRDefault="00A411DE" w:rsidP="008817BF">
      <w:pPr>
        <w:jc w:val="both"/>
        <w:rPr>
          <w:rFonts w:cs="Arial"/>
          <w:sz w:val="28"/>
          <w:szCs w:val="28"/>
          <w:shd w:val="clear" w:color="auto" w:fill="FFFFFF"/>
        </w:rPr>
      </w:pPr>
    </w:p>
    <w:p w:rsidR="008D1347" w:rsidRDefault="008D1347" w:rsidP="00ED06EC">
      <w:pPr>
        <w:pStyle w:val="three-up-icons-item-text"/>
        <w:spacing w:before="225" w:beforeAutospacing="0" w:after="0" w:afterAutospacing="0"/>
        <w:rPr>
          <w:rFonts w:ascii="Arial" w:hAnsi="Arial" w:cs="Arial"/>
          <w:b/>
          <w:sz w:val="32"/>
          <w:szCs w:val="32"/>
        </w:rPr>
      </w:pPr>
    </w:p>
    <w:p w:rsidR="008D1347" w:rsidRDefault="008D1347" w:rsidP="00ED06EC">
      <w:pPr>
        <w:pStyle w:val="three-up-icons-item-text"/>
        <w:spacing w:before="225" w:beforeAutospacing="0" w:after="0" w:afterAutospacing="0"/>
        <w:rPr>
          <w:rFonts w:ascii="Arial" w:hAnsi="Arial" w:cs="Arial"/>
          <w:b/>
          <w:sz w:val="32"/>
          <w:szCs w:val="32"/>
        </w:rPr>
      </w:pPr>
    </w:p>
    <w:p w:rsidR="008D1347" w:rsidRDefault="008D1347" w:rsidP="00ED06EC">
      <w:pPr>
        <w:pStyle w:val="three-up-icons-item-text"/>
        <w:spacing w:before="225" w:beforeAutospacing="0" w:after="0" w:afterAutospacing="0"/>
        <w:rPr>
          <w:rFonts w:ascii="Arial" w:hAnsi="Arial" w:cs="Arial"/>
          <w:b/>
          <w:sz w:val="32"/>
          <w:szCs w:val="32"/>
        </w:rPr>
      </w:pPr>
    </w:p>
    <w:p w:rsidR="008D1347" w:rsidRDefault="008D1347" w:rsidP="00ED06EC">
      <w:pPr>
        <w:pStyle w:val="three-up-icons-item-text"/>
        <w:spacing w:before="225" w:beforeAutospacing="0" w:after="0" w:afterAutospacing="0"/>
        <w:rPr>
          <w:rFonts w:ascii="Arial" w:hAnsi="Arial" w:cs="Arial"/>
          <w:b/>
          <w:sz w:val="32"/>
          <w:szCs w:val="32"/>
        </w:rPr>
      </w:pPr>
    </w:p>
    <w:p w:rsidR="008D1347" w:rsidRDefault="008D1347" w:rsidP="00ED06EC">
      <w:pPr>
        <w:pStyle w:val="three-up-icons-item-text"/>
        <w:spacing w:before="225" w:beforeAutospacing="0" w:after="0" w:afterAutospacing="0"/>
        <w:rPr>
          <w:rFonts w:ascii="Arial" w:hAnsi="Arial" w:cs="Arial"/>
          <w:b/>
          <w:sz w:val="32"/>
          <w:szCs w:val="32"/>
        </w:rPr>
      </w:pPr>
    </w:p>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w:t>
      </w:r>
      <w:r w:rsidR="00317421" w:rsidRPr="00AF2F9B">
        <w:rPr>
          <w:rFonts w:ascii="Arial" w:hAnsi="Arial" w:cs="Arial"/>
          <w:b/>
          <w:sz w:val="32"/>
          <w:szCs w:val="32"/>
        </w:rPr>
        <w:t>adline for the</w:t>
      </w:r>
      <w:r w:rsidR="00C46B75">
        <w:rPr>
          <w:rFonts w:ascii="Arial" w:hAnsi="Arial" w:cs="Arial"/>
          <w:b/>
          <w:sz w:val="32"/>
          <w:szCs w:val="32"/>
        </w:rPr>
        <w:t xml:space="preserve"> </w:t>
      </w:r>
      <w:r w:rsidR="009961A6">
        <w:rPr>
          <w:rFonts w:ascii="Arial" w:hAnsi="Arial" w:cs="Arial"/>
          <w:b/>
          <w:sz w:val="32"/>
          <w:szCs w:val="32"/>
        </w:rPr>
        <w:t>October</w:t>
      </w:r>
      <w:r w:rsidR="00C02D5D">
        <w:rPr>
          <w:rFonts w:ascii="Arial" w:hAnsi="Arial" w:cs="Arial"/>
          <w:b/>
          <w:sz w:val="32"/>
          <w:szCs w:val="32"/>
        </w:rPr>
        <w:t xml:space="preserve"> Newsletter</w:t>
      </w:r>
      <w:r w:rsidR="00317421" w:rsidRPr="00AF2F9B">
        <w:rPr>
          <w:rFonts w:ascii="Arial" w:hAnsi="Arial" w:cs="Arial"/>
          <w:b/>
          <w:sz w:val="32"/>
          <w:szCs w:val="32"/>
        </w:rPr>
        <w:t xml:space="preserve"> is</w:t>
      </w:r>
      <w:r w:rsidR="009961A6">
        <w:rPr>
          <w:rFonts w:ascii="Arial" w:hAnsi="Arial" w:cs="Arial"/>
          <w:b/>
          <w:sz w:val="32"/>
          <w:szCs w:val="32"/>
        </w:rPr>
        <w:t xml:space="preserve"> September</w:t>
      </w:r>
      <w:r w:rsidR="00B050A0" w:rsidRPr="00AF2F9B">
        <w:rPr>
          <w:rFonts w:ascii="Arial" w:hAnsi="Arial" w:cs="Arial"/>
          <w:b/>
          <w:sz w:val="32"/>
          <w:szCs w:val="32"/>
        </w:rPr>
        <w:t xml:space="preserve"> </w:t>
      </w:r>
      <w:r w:rsidR="00317421" w:rsidRPr="00AF2F9B">
        <w:rPr>
          <w:rFonts w:ascii="Arial" w:hAnsi="Arial" w:cs="Arial"/>
          <w:b/>
          <w:sz w:val="32"/>
          <w:szCs w:val="32"/>
        </w:rPr>
        <w:t>20</w:t>
      </w:r>
      <w:r w:rsidR="007706E2">
        <w:rPr>
          <w:rFonts w:ascii="Arial" w:hAnsi="Arial" w:cs="Arial"/>
          <w:b/>
          <w:sz w:val="32"/>
          <w:szCs w:val="32"/>
        </w:rPr>
        <w:t>.</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FE70C1" w:rsidP="00945A34">
      <w:pPr>
        <w:rPr>
          <w:rStyle w:val="Hyperlink"/>
          <w:rFonts w:cs="Arial"/>
          <w:sz w:val="24"/>
          <w:szCs w:val="24"/>
          <w:u w:val="none"/>
        </w:rPr>
      </w:pPr>
      <w:hyperlink r:id="rId16"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7"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747337" w:rsidRDefault="00747337" w:rsidP="0050320E">
      <w:pPr>
        <w:ind w:left="360"/>
        <w:rPr>
          <w:rFonts w:cs="Arial"/>
          <w:b/>
          <w:sz w:val="28"/>
          <w:szCs w:val="28"/>
        </w:rPr>
      </w:pPr>
    </w:p>
    <w:p w:rsidR="0050320E" w:rsidRPr="00EE55E8" w:rsidRDefault="00FE70C1" w:rsidP="0050320E">
      <w:pPr>
        <w:ind w:left="360"/>
        <w:rPr>
          <w:rFonts w:cs="Arial"/>
          <w:b/>
          <w:sz w:val="28"/>
          <w:szCs w:val="28"/>
        </w:rPr>
      </w:pPr>
      <w:r>
        <w:rPr>
          <w:rFonts w:cs="Arial"/>
          <w:b/>
          <w:noProof/>
          <w:sz w:val="28"/>
          <w:szCs w:val="28"/>
        </w:rPr>
        <w:pict>
          <v:shape 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tj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aQCkcoammciE2E2Kz0u2vSAPzgbyagV9993AhVn&#10;5oONgizX+SpaO0WX+fk5Bfhbqj5NCSsJrOIyIGdzcBPmF7FzqLueqs02sHBNQrY6EXvs7DACGTLx&#10;fXg80fGncTp1fOLbnwA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C0KVtj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8"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9"/>
      <w:headerReference w:type="default" r:id="rId20"/>
      <w:headerReference w:type="first" r:id="rId21"/>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7D" w:rsidRDefault="00801E7D">
      <w:r>
        <w:separator/>
      </w:r>
    </w:p>
  </w:endnote>
  <w:endnote w:type="continuationSeparator" w:id="0">
    <w:p w:rsidR="00801E7D" w:rsidRDefault="00801E7D">
      <w:r>
        <w:continuationSeparator/>
      </w:r>
    </w:p>
  </w:endnote>
  <w:endnote w:type="continuationNotice" w:id="1">
    <w:p w:rsidR="00801E7D" w:rsidRDefault="00801E7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ork Sans">
    <w:altName w:val="Times New Roman"/>
    <w:charset w:val="00"/>
    <w:family w:val="auto"/>
    <w:pitch w:val="variable"/>
    <w:sig w:usb0="00000001"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7D" w:rsidRDefault="00801E7D">
      <w:r>
        <w:separator/>
      </w:r>
    </w:p>
  </w:footnote>
  <w:footnote w:type="continuationSeparator" w:id="0">
    <w:p w:rsidR="00801E7D" w:rsidRDefault="00801E7D">
      <w:r>
        <w:continuationSeparator/>
      </w:r>
    </w:p>
  </w:footnote>
  <w:footnote w:type="continuationNotice" w:id="1">
    <w:p w:rsidR="00801E7D" w:rsidRDefault="00801E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4F47AC">
      <w:rPr>
        <w:rFonts w:asciiTheme="minorHAnsi" w:hAnsiTheme="minorHAnsi"/>
        <w:b/>
        <w:i/>
      </w:rPr>
      <w:t>1</w:t>
    </w:r>
    <w:r>
      <w:rPr>
        <w:rFonts w:asciiTheme="minorHAnsi" w:hAnsiTheme="minorHAnsi"/>
        <w:b/>
        <w:i/>
      </w:rPr>
      <w:tab/>
    </w:r>
    <w:r w:rsidR="00B3448C">
      <w:rPr>
        <w:rFonts w:asciiTheme="minorHAnsi" w:hAnsiTheme="minorHAnsi"/>
        <w:b/>
        <w:i/>
      </w:rPr>
      <w:t>September</w:t>
    </w:r>
    <w:r w:rsidR="00FD330E">
      <w:rPr>
        <w:rFonts w:asciiTheme="minorHAnsi" w:hAnsiTheme="minorHAnsi"/>
        <w:b/>
        <w:i/>
      </w:rPr>
      <w:t xml:space="preserve"> </w:t>
    </w:r>
    <w:r>
      <w:rPr>
        <w:rFonts w:asciiTheme="minorHAnsi" w:hAnsiTheme="minorHAnsi"/>
        <w:b/>
        <w:i/>
      </w:rPr>
      <w:t>202</w:t>
    </w:r>
    <w:r w:rsidR="003B4552">
      <w:rPr>
        <w:rFonts w:asciiTheme="minorHAnsi" w:hAnsiTheme="minorHAnsi"/>
        <w:b/>
        <w:i/>
      </w:rPr>
      <w:t>2</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FE70C1" w:rsidRPr="00141AE6">
      <w:rPr>
        <w:rFonts w:asciiTheme="minorHAnsi" w:hAnsiTheme="minorHAnsi"/>
        <w:b/>
        <w:i/>
      </w:rPr>
      <w:fldChar w:fldCharType="begin"/>
    </w:r>
    <w:r w:rsidRPr="00141AE6">
      <w:rPr>
        <w:rFonts w:asciiTheme="minorHAnsi" w:hAnsiTheme="minorHAnsi"/>
        <w:b/>
        <w:i/>
      </w:rPr>
      <w:instrText xml:space="preserve"> PAGE   \* MERGEFORMAT </w:instrText>
    </w:r>
    <w:r w:rsidR="00FE70C1" w:rsidRPr="00141AE6">
      <w:rPr>
        <w:rFonts w:asciiTheme="minorHAnsi" w:hAnsiTheme="minorHAnsi"/>
        <w:b/>
        <w:i/>
      </w:rPr>
      <w:fldChar w:fldCharType="separate"/>
    </w:r>
    <w:r w:rsidR="000B6D40">
      <w:rPr>
        <w:rFonts w:asciiTheme="minorHAnsi" w:hAnsiTheme="minorHAnsi"/>
        <w:b/>
        <w:i/>
        <w:noProof/>
      </w:rPr>
      <w:t>8</w:t>
    </w:r>
    <w:r w:rsidR="00FE70C1"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p w:rsidR="00F302B8" w:rsidRDefault="00F30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4F47AC">
      <w:rPr>
        <w:rFonts w:asciiTheme="minorHAnsi" w:hAnsiTheme="minorHAnsi"/>
        <w:b/>
        <w:i/>
      </w:rPr>
      <w:t>1</w:t>
    </w:r>
    <w:r w:rsidRPr="00141AE6">
      <w:rPr>
        <w:rFonts w:asciiTheme="minorHAnsi" w:hAnsiTheme="minorHAnsi"/>
        <w:b/>
        <w:i/>
      </w:rPr>
      <w:tab/>
    </w:r>
    <w:r w:rsidR="00B3448C">
      <w:rPr>
        <w:rFonts w:asciiTheme="minorHAnsi" w:hAnsiTheme="minorHAnsi"/>
        <w:b/>
        <w:i/>
      </w:rPr>
      <w:t>September</w:t>
    </w:r>
    <w:r>
      <w:rPr>
        <w:rFonts w:asciiTheme="minorHAnsi" w:hAnsiTheme="minorHAnsi"/>
        <w:b/>
        <w:i/>
      </w:rPr>
      <w:t xml:space="preserve"> 202</w:t>
    </w:r>
    <w:r w:rsidR="003B4552">
      <w:rPr>
        <w:rFonts w:asciiTheme="minorHAnsi" w:hAnsiTheme="minorHAnsi"/>
        <w:b/>
        <w:i/>
      </w:rPr>
      <w:t>2</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FE70C1" w:rsidRPr="00FE70C1">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FE70C1" w:rsidRPr="00FE70C1">
      <w:rPr>
        <w:rFonts w:asciiTheme="minorHAnsi" w:hAnsiTheme="minorHAnsi"/>
        <w:b/>
        <w:i/>
        <w:u w:val="double"/>
      </w:rPr>
      <w:fldChar w:fldCharType="separate"/>
    </w:r>
    <w:r w:rsidR="000B6D40">
      <w:rPr>
        <w:rFonts w:asciiTheme="minorHAnsi" w:hAnsiTheme="minorHAnsi"/>
        <w:b/>
        <w:i/>
        <w:noProof/>
        <w:u w:val="double"/>
      </w:rPr>
      <w:t>7</w:t>
    </w:r>
    <w:r w:rsidR="00FE70C1"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F254B5">
    <w:pPr>
      <w:pStyle w:val="Header"/>
      <w:rPr>
        <w:rFonts w:asciiTheme="minorHAnsi" w:hAnsiTheme="minorHAnsi"/>
        <w:b/>
        <w:i/>
        <w:sz w:val="52"/>
        <w:szCs w:val="52"/>
      </w:rPr>
    </w:pPr>
    <w:r>
      <w:rPr>
        <w:noProof/>
      </w:rPr>
      <w:drawing>
        <wp:inline distT="0" distB="0" distL="0" distR="0">
          <wp:extent cx="3268980" cy="11506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269889" cy="1150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1600200" cy="1287780"/>
          <wp:effectExtent l="0" t="0" r="0" b="762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1287780"/>
                  </a:xfrm>
                  <a:prstGeom prst="rect">
                    <a:avLst/>
                  </a:prstGeom>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4F47AC">
      <w:rPr>
        <w:rFonts w:cs="Arial"/>
        <w:b/>
        <w:sz w:val="28"/>
        <w:szCs w:val="28"/>
      </w:rPr>
      <w:t>1</w:t>
    </w:r>
    <w:r>
      <w:rPr>
        <w:rFonts w:cs="Arial"/>
        <w:b/>
        <w:sz w:val="28"/>
        <w:szCs w:val="28"/>
      </w:rPr>
      <w:tab/>
    </w:r>
    <w:r>
      <w:rPr>
        <w:rFonts w:cs="Arial"/>
        <w:b/>
        <w:sz w:val="28"/>
        <w:szCs w:val="28"/>
      </w:rPr>
      <w:tab/>
    </w:r>
    <w:r w:rsidR="00B3448C">
      <w:rPr>
        <w:rFonts w:cs="Arial"/>
        <w:b/>
        <w:sz w:val="28"/>
        <w:szCs w:val="28"/>
      </w:rPr>
      <w:t>September</w:t>
    </w:r>
    <w:r>
      <w:rPr>
        <w:rFonts w:cs="Arial"/>
        <w:b/>
        <w:sz w:val="28"/>
        <w:szCs w:val="28"/>
      </w:rPr>
      <w:t xml:space="preserve"> 202</w:t>
    </w:r>
    <w:r w:rsidR="003B4552">
      <w:rPr>
        <w:rFonts w:cs="Arial"/>
        <w:b/>
        <w:sz w:val="28"/>
        <w:szCs w:val="28"/>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A8B75C8"/>
    <w:multiLevelType w:val="hybridMultilevel"/>
    <w:tmpl w:val="6C0A4D56"/>
    <w:lvl w:ilvl="0" w:tplc="513A9F00">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5">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287E24"/>
    <w:multiLevelType w:val="hybridMultilevel"/>
    <w:tmpl w:val="170A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03265"/>
    <w:multiLevelType w:val="multilevel"/>
    <w:tmpl w:val="249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0">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90780E"/>
    <w:multiLevelType w:val="multilevel"/>
    <w:tmpl w:val="ED96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E3804D1"/>
    <w:multiLevelType w:val="hybridMultilevel"/>
    <w:tmpl w:val="BFC8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8"/>
  </w:num>
  <w:num w:numId="2">
    <w:abstractNumId w:val="37"/>
  </w:num>
  <w:num w:numId="3">
    <w:abstractNumId w:val="9"/>
  </w:num>
  <w:num w:numId="4">
    <w:abstractNumId w:val="18"/>
  </w:num>
  <w:num w:numId="5">
    <w:abstractNumId w:val="25"/>
  </w:num>
  <w:num w:numId="6">
    <w:abstractNumId w:val="40"/>
  </w:num>
  <w:num w:numId="7">
    <w:abstractNumId w:val="7"/>
  </w:num>
  <w:num w:numId="8">
    <w:abstractNumId w:val="35"/>
  </w:num>
  <w:num w:numId="9">
    <w:abstractNumId w:val="31"/>
  </w:num>
  <w:num w:numId="10">
    <w:abstractNumId w:val="15"/>
  </w:num>
  <w:num w:numId="11">
    <w:abstractNumId w:val="41"/>
  </w:num>
  <w:num w:numId="12">
    <w:abstractNumId w:val="45"/>
  </w:num>
  <w:num w:numId="13">
    <w:abstractNumId w:val="49"/>
  </w:num>
  <w:num w:numId="14">
    <w:abstractNumId w:val="47"/>
  </w:num>
  <w:num w:numId="15">
    <w:abstractNumId w:val="20"/>
  </w:num>
  <w:num w:numId="16">
    <w:abstractNumId w:val="30"/>
  </w:num>
  <w:num w:numId="17">
    <w:abstractNumId w:val="1"/>
  </w:num>
  <w:num w:numId="18">
    <w:abstractNumId w:val="5"/>
  </w:num>
  <w:num w:numId="19">
    <w:abstractNumId w:val="32"/>
  </w:num>
  <w:num w:numId="20">
    <w:abstractNumId w:val="44"/>
  </w:num>
  <w:num w:numId="21">
    <w:abstractNumId w:val="33"/>
  </w:num>
  <w:num w:numId="22">
    <w:abstractNumId w:val="43"/>
  </w:num>
  <w:num w:numId="23">
    <w:abstractNumId w:val="27"/>
  </w:num>
  <w:num w:numId="24">
    <w:abstractNumId w:val="0"/>
  </w:num>
  <w:num w:numId="25">
    <w:abstractNumId w:val="42"/>
  </w:num>
  <w:num w:numId="26">
    <w:abstractNumId w:val="34"/>
  </w:num>
  <w:num w:numId="27">
    <w:abstractNumId w:val="36"/>
  </w:num>
  <w:num w:numId="28">
    <w:abstractNumId w:val="23"/>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num>
  <w:num w:numId="35">
    <w:abstractNumId w:val="10"/>
  </w:num>
  <w:num w:numId="36">
    <w:abstractNumId w:val="26"/>
  </w:num>
  <w:num w:numId="37">
    <w:abstractNumId w:val="4"/>
  </w:num>
  <w:num w:numId="38">
    <w:abstractNumId w:val="17"/>
  </w:num>
  <w:num w:numId="39">
    <w:abstractNumId w:val="11"/>
  </w:num>
  <w:num w:numId="40">
    <w:abstractNumId w:val="14"/>
  </w:num>
  <w:num w:numId="41">
    <w:abstractNumId w:val="1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
  </w:num>
  <w:num w:numId="45">
    <w:abstractNumId w:val="22"/>
  </w:num>
  <w:num w:numId="46">
    <w:abstractNumId w:val="16"/>
  </w:num>
  <w:num w:numId="47">
    <w:abstractNumId w:val="48"/>
  </w:num>
  <w:num w:numId="48">
    <w:abstractNumId w:val="12"/>
  </w:num>
  <w:num w:numId="49">
    <w:abstractNumId w:val="46"/>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6D40"/>
    <w:rsid w:val="000B73D7"/>
    <w:rsid w:val="000B7483"/>
    <w:rsid w:val="000C083A"/>
    <w:rsid w:val="000C1B56"/>
    <w:rsid w:val="000C1F68"/>
    <w:rsid w:val="000C2E94"/>
    <w:rsid w:val="000C3516"/>
    <w:rsid w:val="000C398B"/>
    <w:rsid w:val="000C4840"/>
    <w:rsid w:val="000C4AEE"/>
    <w:rsid w:val="000C63A0"/>
    <w:rsid w:val="000C6D79"/>
    <w:rsid w:val="000C78F5"/>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7B3"/>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4D0A"/>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39D"/>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BB1"/>
    <w:rsid w:val="002E2CDB"/>
    <w:rsid w:val="002E3318"/>
    <w:rsid w:val="002E3778"/>
    <w:rsid w:val="002E5843"/>
    <w:rsid w:val="002E5949"/>
    <w:rsid w:val="002E5B8D"/>
    <w:rsid w:val="002E61CA"/>
    <w:rsid w:val="002E7F62"/>
    <w:rsid w:val="002F04E9"/>
    <w:rsid w:val="002F052D"/>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0D92"/>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225A"/>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22DF"/>
    <w:rsid w:val="004C32CB"/>
    <w:rsid w:val="004C341D"/>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3581"/>
    <w:rsid w:val="005E4C88"/>
    <w:rsid w:val="005E5266"/>
    <w:rsid w:val="005E620F"/>
    <w:rsid w:val="005E6711"/>
    <w:rsid w:val="005E6D62"/>
    <w:rsid w:val="005E7634"/>
    <w:rsid w:val="005F01CC"/>
    <w:rsid w:val="005F0BFB"/>
    <w:rsid w:val="005F1B79"/>
    <w:rsid w:val="005F2227"/>
    <w:rsid w:val="005F2623"/>
    <w:rsid w:val="005F27DF"/>
    <w:rsid w:val="005F2958"/>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527B"/>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EB4"/>
    <w:rsid w:val="00633F75"/>
    <w:rsid w:val="006346AB"/>
    <w:rsid w:val="00634FA8"/>
    <w:rsid w:val="006351D7"/>
    <w:rsid w:val="00635322"/>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72E"/>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09E"/>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1C78"/>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1E7D"/>
    <w:rsid w:val="0080289C"/>
    <w:rsid w:val="00802FCE"/>
    <w:rsid w:val="008036FC"/>
    <w:rsid w:val="00804806"/>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CA6"/>
    <w:rsid w:val="008A403F"/>
    <w:rsid w:val="008A4ED0"/>
    <w:rsid w:val="008A5035"/>
    <w:rsid w:val="008A508F"/>
    <w:rsid w:val="008A54C0"/>
    <w:rsid w:val="008A5979"/>
    <w:rsid w:val="008A738E"/>
    <w:rsid w:val="008A777B"/>
    <w:rsid w:val="008B07BA"/>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347"/>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2AF"/>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1336"/>
    <w:rsid w:val="009326E4"/>
    <w:rsid w:val="0093281D"/>
    <w:rsid w:val="009333F3"/>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3A6"/>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E0"/>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0722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28B5"/>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5114"/>
    <w:rsid w:val="00BB73A9"/>
    <w:rsid w:val="00BB7B48"/>
    <w:rsid w:val="00BC008E"/>
    <w:rsid w:val="00BC035B"/>
    <w:rsid w:val="00BC14BA"/>
    <w:rsid w:val="00BC1868"/>
    <w:rsid w:val="00BC3DB5"/>
    <w:rsid w:val="00BC495D"/>
    <w:rsid w:val="00BC5503"/>
    <w:rsid w:val="00BC5DDF"/>
    <w:rsid w:val="00BC76AF"/>
    <w:rsid w:val="00BC7E30"/>
    <w:rsid w:val="00BD009F"/>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925"/>
    <w:rsid w:val="00C53042"/>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B61"/>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170ED"/>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52E"/>
    <w:rsid w:val="00D4753B"/>
    <w:rsid w:val="00D47A1F"/>
    <w:rsid w:val="00D502A7"/>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6B46"/>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1B3"/>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53B"/>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16F9"/>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54B5"/>
    <w:rsid w:val="00F262A0"/>
    <w:rsid w:val="00F26AA1"/>
    <w:rsid w:val="00F26AEB"/>
    <w:rsid w:val="00F273AE"/>
    <w:rsid w:val="00F302B8"/>
    <w:rsid w:val="00F30C0B"/>
    <w:rsid w:val="00F32598"/>
    <w:rsid w:val="00F32BD6"/>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17AB"/>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C1"/>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customStyle="1" w:styleId="xmsonormal">
    <w:name w:val="x_msonormal"/>
    <w:basedOn w:val="Normal"/>
    <w:rsid w:val="00B928B5"/>
    <w:pPr>
      <w:widowControl/>
      <w:overflowPunct/>
      <w:autoSpaceDE/>
      <w:autoSpaceDN/>
      <w:adjustRightInd/>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50314652">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garetfschweitzer@gmail.com" TargetMode="External"/><Relationship Id="rId18" Type="http://schemas.openxmlformats.org/officeDocument/2006/relationships/hyperlink" Target="mailto:judyb429@verizon.ne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ontgomerycollege.edu/alumni-friends-donors/foundation/donate.html/" TargetMode="External"/><Relationship Id="rId17"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msullivan@niaid.nih.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privacy-policy/" TargetMode="External"/><Relationship Id="rId5" Type="http://schemas.openxmlformats.org/officeDocument/2006/relationships/webSettings" Target="webSettings.xml"/><Relationship Id="rId15" Type="http://schemas.openxmlformats.org/officeDocument/2006/relationships/hyperlink" Target="mailto:Bobbeandherb@comcast.net" TargetMode="External"/><Relationship Id="rId23" Type="http://schemas.openxmlformats.org/officeDocument/2006/relationships/theme" Target="theme/theme1.xml"/><Relationship Id="rId10" Type="http://schemas.openxmlformats.org/officeDocument/2006/relationships/hyperlink" Target="mailto:anitarosen123@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belanger@comcast.net" TargetMode="External"/><Relationship Id="rId14" Type="http://schemas.openxmlformats.org/officeDocument/2006/relationships/hyperlink" Target="mailto:anitarosen123@gmail.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CB2B-4575-4100-B697-83507076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4</cp:revision>
  <cp:lastPrinted>2022-08-30T16:12:00Z</cp:lastPrinted>
  <dcterms:created xsi:type="dcterms:W3CDTF">2022-08-30T15:52:00Z</dcterms:created>
  <dcterms:modified xsi:type="dcterms:W3CDTF">2022-08-30T16:12:00Z</dcterms:modified>
</cp:coreProperties>
</file>